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Na temelju članaka </w:t>
      </w:r>
      <w:r>
        <w:rPr>
          <w:rFonts w:asciiTheme="minorHAnsi" w:hAnsiTheme="minorHAnsi" w:cstheme="minorHAnsi"/>
          <w:color w:val="000000"/>
          <w:sz w:val="22"/>
          <w:szCs w:val="22"/>
          <w:lang w:val="en-GB"/>
        </w:rPr>
        <w:t xml:space="preserve">26</w:t>
      </w:r>
      <w:r>
        <w:rPr>
          <w:rFonts w:asciiTheme="minorHAnsi" w:hAnsiTheme="minorHAnsi" w:cstheme="minorHAnsi"/>
          <w:color w:val="000000"/>
          <w:sz w:val="22"/>
          <w:szCs w:val="22"/>
        </w:rPr>
        <w:t xml:space="preserve">. i </w:t>
      </w:r>
      <w:r>
        <w:rPr>
          <w:rFonts w:asciiTheme="minorHAnsi" w:hAnsiTheme="minorHAnsi" w:cstheme="minorHAnsi"/>
          <w:color w:val="000000"/>
          <w:sz w:val="22"/>
          <w:szCs w:val="22"/>
          <w:lang w:val="en-GB"/>
        </w:rPr>
        <w:t xml:space="preserve">27</w:t>
      </w:r>
      <w:r>
        <w:rPr>
          <w:rFonts w:asciiTheme="minorHAnsi" w:hAnsiTheme="minorHAnsi" w:cstheme="minorHAnsi"/>
          <w:color w:val="000000"/>
          <w:sz w:val="22"/>
          <w:szCs w:val="22"/>
        </w:rPr>
        <w:t xml:space="preserve">. Zakona o radu (Narodne novine broj </w:t>
      </w:r>
      <w:r>
        <w:rPr>
          <w:rFonts w:asciiTheme="minorHAnsi" w:hAnsiTheme="minorHAnsi" w:cstheme="minorHAnsi"/>
          <w:color w:val="000000"/>
          <w:sz w:val="22"/>
          <w:szCs w:val="22"/>
          <w:lang w:val="en-GB"/>
        </w:rPr>
        <w:t xml:space="preserve">93/14, 127/17, 98/19, 151/22 </w:t>
      </w:r>
      <w:r>
        <w:rPr>
          <w:rFonts w:asciiTheme="minorHAnsi" w:hAnsiTheme="minorHAnsi" w:cstheme="minorHAnsi"/>
          <w:color w:val="000000"/>
          <w:sz w:val="22"/>
          <w:szCs w:val="22"/>
          <w:lang w:val="en-GB"/>
        </w:rPr>
        <w:t xml:space="preserve">i</w:t>
      </w:r>
      <w:r>
        <w:rPr>
          <w:rFonts w:asciiTheme="minorHAnsi" w:hAnsiTheme="minorHAnsi" w:cstheme="minorHAnsi"/>
          <w:color w:val="000000"/>
          <w:sz w:val="22"/>
          <w:szCs w:val="22"/>
          <w:lang w:val="en-GB"/>
        </w:rPr>
        <w:t xml:space="preserve"> 64/23) </w:t>
      </w:r>
      <w:r>
        <w:rPr>
          <w:rFonts w:asciiTheme="minorHAnsi" w:hAnsiTheme="minorHAnsi" w:cstheme="minorHAnsi"/>
          <w:color w:val="000000"/>
          <w:sz w:val="22"/>
          <w:szCs w:val="22"/>
          <w:lang w:val="en-GB"/>
        </w:rPr>
        <w:t xml:space="preserve">te</w:t>
      </w:r>
      <w:r>
        <w:rPr>
          <w:rFonts w:asciiTheme="minorHAnsi" w:hAnsiTheme="minorHAnsi" w:cstheme="minorHAnsi"/>
          <w:color w:val="000000"/>
          <w:sz w:val="22"/>
          <w:szCs w:val="22"/>
        </w:rPr>
        <w:t xml:space="preserve"> članaka </w:t>
      </w:r>
      <w:r>
        <w:rPr>
          <w:rFonts w:asciiTheme="minorHAnsi" w:hAnsiTheme="minorHAnsi" w:cstheme="minorHAnsi"/>
          <w:color w:val="000000"/>
          <w:sz w:val="22"/>
          <w:szCs w:val="22"/>
        </w:rPr>
        <w:t xml:space="preserve">58. i 152</w:t>
      </w:r>
      <w:r>
        <w:rPr>
          <w:rFonts w:asciiTheme="minorHAnsi" w:hAnsiTheme="minorHAnsi" w:cstheme="minorHAnsi"/>
          <w:color w:val="000000"/>
          <w:sz w:val="22"/>
          <w:szCs w:val="22"/>
        </w:rPr>
        <w:t xml:space="preserve">. Statuta Osnovne škole </w:t>
      </w:r>
      <w:r>
        <w:rPr>
          <w:rFonts w:asciiTheme="minorHAnsi" w:hAnsiTheme="minorHAnsi" w:cstheme="minorHAnsi"/>
          <w:color w:val="000000"/>
          <w:sz w:val="22"/>
          <w:szCs w:val="22"/>
        </w:rPr>
        <w:t xml:space="preserve">Manuš-Split</w:t>
      </w:r>
      <w:r>
        <w:rPr>
          <w:rFonts w:asciiTheme="minorHAnsi" w:hAnsiTheme="minorHAnsi" w:cstheme="minorHAnsi"/>
          <w:color w:val="000000"/>
          <w:sz w:val="22"/>
          <w:szCs w:val="22"/>
        </w:rPr>
        <w:t xml:space="preserve"> nakon prethodnog savjetovanja sa </w:t>
      </w:r>
      <w:r>
        <w:rPr>
          <w:rFonts w:asciiTheme="minorHAnsi" w:hAnsiTheme="minorHAnsi" w:cstheme="minorHAnsi"/>
          <w:color w:val="000000"/>
          <w:sz w:val="22"/>
          <w:szCs w:val="22"/>
        </w:rPr>
        <w:t xml:space="preserve">sindikalnim</w:t>
      </w:r>
      <w:r>
        <w:rPr>
          <w:rFonts w:asciiTheme="minorHAnsi" w:hAnsiTheme="minorHAnsi" w:cstheme="minorHAnsi"/>
          <w:i/>
          <w:color w:val="000000"/>
          <w:sz w:val="22"/>
          <w:szCs w:val="22"/>
        </w:rPr>
        <w:t xml:space="preserve"> </w:t>
      </w:r>
      <w:r>
        <w:rPr>
          <w:rFonts w:asciiTheme="minorHAnsi" w:hAnsiTheme="minorHAnsi" w:cstheme="minorHAnsi"/>
          <w:color w:val="000000"/>
          <w:sz w:val="22"/>
          <w:szCs w:val="22"/>
        </w:rPr>
        <w:t xml:space="preserve">povjerenikom s ovlastima </w:t>
      </w:r>
      <w:r>
        <w:rPr>
          <w:rFonts w:asciiTheme="minorHAnsi" w:hAnsiTheme="minorHAnsi" w:cstheme="minorHAnsi"/>
          <w:color w:val="000000"/>
          <w:sz w:val="22"/>
          <w:szCs w:val="22"/>
          <w:lang w:val="en-GB"/>
        </w:rPr>
        <w:t xml:space="preserve">R</w:t>
      </w:r>
      <w:r>
        <w:rPr>
          <w:rFonts w:asciiTheme="minorHAnsi" w:hAnsiTheme="minorHAnsi" w:cstheme="minorHAnsi"/>
          <w:color w:val="000000"/>
          <w:sz w:val="22"/>
          <w:szCs w:val="22"/>
        </w:rPr>
        <w:t xml:space="preserve">adničkog</w:t>
      </w:r>
      <w:r>
        <w:rPr>
          <w:rFonts w:asciiTheme="minorHAnsi" w:hAnsiTheme="minorHAnsi" w:cstheme="minorHAnsi"/>
          <w:color w:val="000000"/>
          <w:sz w:val="22"/>
          <w:szCs w:val="22"/>
        </w:rPr>
        <w:t xml:space="preserve"> vijeća</w:t>
      </w:r>
      <w:r>
        <w:rPr>
          <w:rFonts w:asciiTheme="minorHAnsi" w:hAnsiTheme="minorHAnsi" w:cstheme="minorHAnsi"/>
          <w:color w:val="000000"/>
          <w:sz w:val="22"/>
          <w:szCs w:val="22"/>
        </w:rPr>
        <w:t xml:space="preserve">, Školski odbor Osnovne škole </w:t>
      </w:r>
      <w:r>
        <w:rPr>
          <w:rFonts w:asciiTheme="minorHAnsi" w:hAnsiTheme="minorHAnsi" w:cstheme="minorHAnsi"/>
          <w:color w:val="000000"/>
          <w:sz w:val="22"/>
          <w:szCs w:val="22"/>
        </w:rPr>
        <w:t xml:space="preserve">Manuš-Split</w:t>
      </w:r>
      <w:r>
        <w:rPr>
          <w:rFonts w:asciiTheme="minorHAnsi" w:hAnsiTheme="minorHAnsi" w:cstheme="minorHAnsi"/>
          <w:color w:val="000000"/>
          <w:sz w:val="22"/>
          <w:szCs w:val="22"/>
        </w:rPr>
        <w:t xml:space="preserve"> na sjednici održanoj dana </w:t>
      </w:r>
      <w:r>
        <w:rPr>
          <w:rFonts w:asciiTheme="minorHAnsi" w:hAnsiTheme="minorHAnsi" w:cstheme="minorHAnsi"/>
          <w:color w:val="000000"/>
          <w:sz w:val="22"/>
          <w:szCs w:val="22"/>
        </w:rPr>
        <w:t xml:space="preserve">24.05.2024</w:t>
      </w:r>
      <w:r>
        <w:rPr>
          <w:rFonts w:asciiTheme="minorHAnsi" w:hAnsiTheme="minorHAnsi" w:cstheme="minorHAnsi"/>
          <w:color w:val="000000"/>
          <w:sz w:val="22"/>
          <w:szCs w:val="22"/>
        </w:rPr>
        <w:t xml:space="preserve"> godine donio je</w:t>
      </w:r>
    </w:p>
    <w:p>
      <w:pPr>
        <w:pStyle w:val="Tijeloteksta"/>
        <w:spacing/>
        <w:rPr>
          <w:rFonts w:asciiTheme="minorHAnsi" w:hAnsiTheme="minorHAnsi" w:cstheme="minorHAnsi"/>
          <w:color w:val="000000"/>
          <w:sz w:val="22"/>
          <w:szCs w:val="22"/>
        </w:rPr>
      </w:pPr>
    </w:p>
    <w:p>
      <w:pPr>
        <w:pStyle w:val="Tijeloteksta"/>
        <w:spacing/>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PRAVILNIK O IZMJENAMA I DOPUNAMA PRAVILNIKA O RADU</w:t>
      </w:r>
    </w:p>
    <w:p>
      <w:pPr>
        <w:pStyle w:val="Tijeloteksta"/>
        <w:spacing/>
        <w:jc w:val="center"/>
        <w:rPr>
          <w:rFonts w:asciiTheme="minorHAnsi" w:hAnsiTheme="minorHAnsi" w:cstheme="minorHAnsi"/>
          <w:color w:val="000000"/>
          <w:sz w:val="22"/>
          <w:szCs w:val="22"/>
        </w:rPr>
      </w:pPr>
    </w:p>
    <w:p>
      <w:pPr>
        <w:pStyle w:val="Tijeloteksta"/>
        <w:spacing/>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1.</w:t>
      </w: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3. Pravilnika o radu KLASA: 011-03/23-02/</w:t>
      </w:r>
      <w:r>
        <w:rPr>
          <w:rFonts w:asciiTheme="minorHAnsi" w:hAnsiTheme="minorHAnsi" w:cstheme="minorHAnsi"/>
          <w:color w:val="000000"/>
          <w:sz w:val="22"/>
          <w:szCs w:val="22"/>
        </w:rPr>
        <w:t xml:space="preserve">2</w:t>
      </w:r>
      <w:r>
        <w:rPr>
          <w:rFonts w:asciiTheme="minorHAnsi" w:hAnsiTheme="minorHAnsi" w:cstheme="minorHAnsi"/>
          <w:color w:val="000000"/>
          <w:sz w:val="22"/>
          <w:szCs w:val="22"/>
        </w:rPr>
        <w:t xml:space="preserve">, URBROJ: 2181-1-</w:t>
      </w:r>
      <w:r>
        <w:rPr>
          <w:rFonts w:asciiTheme="minorHAnsi" w:hAnsiTheme="minorHAnsi" w:cstheme="minorHAnsi"/>
          <w:color w:val="000000"/>
          <w:sz w:val="22"/>
          <w:szCs w:val="22"/>
        </w:rPr>
        <w:t xml:space="preserve">278</w:t>
      </w:r>
      <w:r>
        <w:rPr>
          <w:rFonts w:asciiTheme="minorHAnsi" w:hAnsiTheme="minorHAnsi" w:cstheme="minorHAnsi"/>
          <w:color w:val="000000"/>
          <w:sz w:val="22"/>
          <w:szCs w:val="22"/>
        </w:rPr>
        <w:t xml:space="preserve">-0</w:t>
      </w:r>
      <w:r>
        <w:rPr>
          <w:rFonts w:asciiTheme="minorHAnsi" w:hAnsiTheme="minorHAnsi" w:cstheme="minorHAnsi"/>
          <w:color w:val="000000"/>
          <w:sz w:val="22"/>
          <w:szCs w:val="22"/>
        </w:rPr>
        <w:t xml:space="preserve">1/01</w:t>
      </w:r>
      <w:r>
        <w:rPr>
          <w:rFonts w:asciiTheme="minorHAnsi" w:hAnsiTheme="minorHAnsi" w:cstheme="minorHAnsi"/>
          <w:color w:val="000000"/>
          <w:sz w:val="22"/>
          <w:szCs w:val="22"/>
        </w:rPr>
        <w:t xml:space="preserve">-23-1 od </w:t>
      </w:r>
      <w:r>
        <w:rPr>
          <w:rFonts w:asciiTheme="minorHAnsi" w:hAnsiTheme="minorHAnsi" w:cstheme="minorHAnsi"/>
          <w:color w:val="000000"/>
          <w:sz w:val="22"/>
          <w:szCs w:val="22"/>
        </w:rPr>
        <w:t xml:space="preserve">29</w:t>
      </w:r>
      <w:r>
        <w:rPr>
          <w:rFonts w:asciiTheme="minorHAnsi" w:hAnsiTheme="minorHAnsi" w:cstheme="minorHAnsi"/>
          <w:color w:val="000000"/>
          <w:sz w:val="22"/>
          <w:szCs w:val="22"/>
        </w:rPr>
        <w:t xml:space="preserve">. lipnja 2023. godine mijenja se i glasi:</w:t>
      </w:r>
    </w:p>
    <w:p>
      <w:pPr>
        <w:pStyle w:val="Tijeloteksta"/>
        <w:spacing/>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3.</w:t>
      </w: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''Odredbe ovoga Pravilnika ne primjenjuju se kada je ugovorom o radu, </w:t>
      </w:r>
      <w:r>
        <w:rPr>
          <w:rFonts w:asciiTheme="minorHAnsi" w:hAnsiTheme="minorHAnsi" w:cstheme="minorHAnsi"/>
          <w:iCs/>
          <w:color w:val="000000"/>
          <w:sz w:val="22"/>
          <w:szCs w:val="22"/>
        </w:rPr>
        <w:t xml:space="preserve">kolektivnim ugovorom; temeljnim za javne službe i granskim za </w:t>
      </w:r>
      <w:r>
        <w:rPr>
          <w:rFonts w:asciiTheme="minorHAnsi" w:hAnsiTheme="minorHAnsi" w:cstheme="minorHAnsi"/>
          <w:i/>
          <w:iCs/>
          <w:color w:val="000000"/>
          <w:sz w:val="22"/>
          <w:szCs w:val="22"/>
        </w:rPr>
        <w:t xml:space="preserve">osnovnoškolske</w:t>
      </w:r>
      <w:r>
        <w:rPr>
          <w:rFonts w:asciiTheme="minorHAnsi" w:hAnsiTheme="minorHAnsi" w:cstheme="minorHAnsi"/>
          <w:iCs/>
          <w:color w:val="000000"/>
          <w:sz w:val="22"/>
          <w:szCs w:val="22"/>
        </w:rPr>
        <w:t xml:space="preserve"> ustanove</w:t>
      </w:r>
      <w:r>
        <w:rPr>
          <w:rFonts w:asciiTheme="minorHAnsi" w:hAnsiTheme="minorHAnsi" w:cstheme="minorHAnsi"/>
          <w:color w:val="000000"/>
          <w:sz w:val="22"/>
          <w:szCs w:val="22"/>
        </w:rPr>
        <w:t xml:space="preserve"> (u daljnjem tekstu: Kolektivni ugovori) ili drugim propisom neko pravo radnika iz radnog odnosa određeno povoljnije od prava iz ovoga Pravilnika, osim ako zakonom nije drukčije propisano.''</w:t>
      </w:r>
    </w:p>
    <w:p>
      <w:pPr>
        <w:spacing w:after="0"/>
        <w:jc w:val="center"/>
        <w:rPr>
          <w:rFonts w:asciiTheme="minorHAnsi" w:hAnsiTheme="minorHAnsi" w:cstheme="minorHAnsi"/>
          <w:sz w:val="22"/>
        </w:rPr>
      </w:pPr>
    </w:p>
    <w:p>
      <w:pPr>
        <w:spacing w:after="0"/>
        <w:jc w:val="center"/>
        <w:rPr>
          <w:rFonts w:asciiTheme="minorHAnsi" w:hAnsiTheme="minorHAnsi" w:cstheme="minorHAnsi"/>
          <w:sz w:val="22"/>
        </w:rPr>
      </w:pPr>
      <w:r>
        <w:rPr>
          <w:rFonts w:asciiTheme="minorHAnsi" w:hAnsiTheme="minorHAnsi" w:cstheme="minorHAnsi"/>
          <w:sz w:val="22"/>
        </w:rPr>
        <w:t xml:space="preserve">Članak 2.</w:t>
      </w: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U članku 5. dodaje se novi stavak 4. koji glasi:</w:t>
      </w: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''(4) Nazivi radnih mjesta u člancima 8.- 10. ovoga Pravilnika određeni su u skladu s uredbom kojom su propisani nazivi radnih mjesta, uvjeti za raspored  i koeficijenti za obračun plaće u javnim službama.''</w:t>
      </w:r>
    </w:p>
    <w:p>
      <w:pPr>
        <w:pStyle w:val="Tijeloteksta"/>
        <w:spacing/>
        <w:rPr>
          <w:rFonts w:asciiTheme="minorHAnsi" w:hAnsiTheme="minorHAnsi" w:cstheme="minorHAnsi"/>
          <w:color w:val="000000"/>
          <w:sz w:val="22"/>
          <w:szCs w:val="22"/>
        </w:rPr>
      </w:pPr>
    </w:p>
    <w:p>
      <w:pPr>
        <w:pStyle w:val="Tijeloteksta"/>
        <w:spacing/>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3.</w:t>
      </w:r>
    </w:p>
    <w:p>
      <w:pPr>
        <w:pStyle w:val="Tijeloteksta"/>
        <w:spacing/>
        <w:rPr>
          <w:rFonts w:asciiTheme="minorHAnsi" w:hAnsiTheme="minorHAnsi" w:cstheme="minorHAnsi"/>
          <w:b/>
          <w:color w:val="000000"/>
          <w:sz w:val="22"/>
          <w:szCs w:val="22"/>
        </w:rPr>
      </w:pPr>
      <w:r>
        <w:rPr>
          <w:rFonts w:asciiTheme="minorHAnsi" w:hAnsiTheme="minorHAnsi" w:cstheme="minorHAnsi"/>
          <w:color w:val="000000"/>
          <w:sz w:val="22"/>
          <w:szCs w:val="22"/>
        </w:rPr>
        <w:t xml:space="preserve">Ispred članka 8. mijenja se naslov i glasi: ''</w:t>
      </w:r>
      <w:r>
        <w:rPr>
          <w:rFonts w:asciiTheme="minorHAnsi" w:hAnsiTheme="minorHAnsi" w:cstheme="minorHAnsi"/>
          <w:b/>
          <w:color w:val="000000"/>
          <w:sz w:val="22"/>
          <w:szCs w:val="22"/>
        </w:rPr>
        <w:t xml:space="preserve">Tajnik školske ustanove 1''</w:t>
      </w:r>
    </w:p>
    <w:p>
      <w:pPr>
        <w:pStyle w:val="Tijeloteksta"/>
        <w:spacing/>
        <w:rPr>
          <w:rFonts w:asciiTheme="minorHAnsi" w:hAnsiTheme="minorHAnsi" w:cstheme="minorHAnsi"/>
          <w:bCs/>
          <w:color w:val="000000"/>
          <w:sz w:val="22"/>
          <w:szCs w:val="22"/>
        </w:rPr>
      </w:pPr>
    </w:p>
    <w:p>
      <w:pPr>
        <w:pStyle w:val="Tijeloteksta"/>
        <w:spacing/>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Članak 8. mijenja se i glasi:</w:t>
      </w:r>
    </w:p>
    <w:p>
      <w:pPr>
        <w:pStyle w:val="Tijeloteksta"/>
        <w:spacing/>
        <w:rPr>
          <w:rFonts w:asciiTheme="minorHAnsi" w:hAnsiTheme="minorHAnsi" w:cstheme="minorHAnsi"/>
          <w:color w:val="000000"/>
          <w:sz w:val="22"/>
          <w:szCs w:val="22"/>
        </w:rPr>
      </w:pPr>
      <w:r>
        <w:rPr>
          <w:rFonts w:asciiTheme="minorHAnsi" w:hAnsiTheme="minorHAnsi" w:cstheme="minorHAnsi"/>
          <w:bCs/>
          <w:color w:val="000000"/>
          <w:sz w:val="22"/>
          <w:szCs w:val="22"/>
        </w:rPr>
        <w:t xml:space="preserve">''(1) </w:t>
      </w:r>
      <w:r>
        <w:rPr>
          <w:rFonts w:asciiTheme="minorHAnsi" w:hAnsiTheme="minorHAnsi" w:cstheme="minorHAnsi"/>
          <w:color w:val="000000"/>
          <w:sz w:val="22"/>
          <w:szCs w:val="22"/>
        </w:rPr>
        <w:t xml:space="preserve">Tajnik školske ustanove 1 obavlja poslove tajnika školske ustanove.</w:t>
      </w: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(2) Uvjeti za obavljanje poslova tajnika školske ustanove iz stavka 1. ovog članka su: </w:t>
      </w:r>
    </w:p>
    <w:p>
      <w:pPr>
        <w:pStyle w:val="box475750"/>
        <w:shd w:val="clear" w:color="auto" w:fill="FFFFFF"/>
        <w:spacing w:before="0" w:beforeAutospacing="0" w:after="48" w:afterAutospacing="0"/>
        <w:ind w:firstLine="408"/>
        <w:jc w:val="both"/>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 sveučilišni integrirani prijediplomski i diplomski studij pravne struke ili stručni diplomski studij javne uprave,</w:t>
      </w:r>
    </w:p>
    <w:p>
      <w:pPr>
        <w:pStyle w:val="box475750"/>
        <w:shd w:val="clear" w:color="auto" w:fill="FFFFFF"/>
        <w:spacing w:before="0" w:beforeAutospacing="0" w:after="48" w:afterAutospacing="0"/>
        <w:ind w:firstLine="408"/>
        <w:jc w:val="both"/>
        <w:textAlignment w:val="baseline"/>
        <w:rPr>
          <w:rFonts w:asciiTheme="minorHAnsi" w:hAnsiTheme="minorHAnsi" w:cstheme="minorHAnsi"/>
          <w:color w:val="000000"/>
          <w:sz w:val="22"/>
          <w:szCs w:val="22"/>
          <w:lang w:val="en-GB"/>
        </w:rPr>
      </w:pPr>
      <w:r>
        <w:rPr>
          <w:rFonts w:asciiTheme="minorHAnsi" w:hAnsiTheme="minorHAnsi" w:cstheme="minorHAnsi"/>
          <w:color w:val="000000"/>
          <w:sz w:val="22"/>
          <w:szCs w:val="22"/>
        </w:rPr>
        <w:t xml:space="preserve">b) stručni prijediplomski studij upravne struke, ako se na natječaj ne javi osoba iz točke a) ovoga stavka.''</w:t>
      </w:r>
    </w:p>
    <w:p>
      <w:pPr>
        <w:pStyle w:val="Tijeloteksta"/>
        <w:spacing/>
        <w:rPr>
          <w:rFonts w:asciiTheme="minorHAnsi" w:hAnsiTheme="minorHAnsi" w:cstheme="minorHAnsi"/>
          <w:strike/>
          <w:color w:val="000000"/>
          <w:sz w:val="22"/>
          <w:szCs w:val="22"/>
        </w:rPr>
      </w:pPr>
    </w:p>
    <w:p>
      <w:pPr>
        <w:pStyle w:val="Tijeloteksta"/>
        <w:spacing/>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4.</w:t>
      </w:r>
    </w:p>
    <w:p>
      <w:pPr>
        <w:pStyle w:val="Tijeloteksta"/>
        <w:spacing/>
        <w:rPr>
          <w:rFonts w:asciiTheme="minorHAnsi" w:hAnsiTheme="minorHAnsi" w:cstheme="minorHAnsi"/>
          <w:b/>
          <w:color w:val="000000"/>
          <w:sz w:val="22"/>
          <w:szCs w:val="22"/>
        </w:rPr>
      </w:pPr>
      <w:r>
        <w:rPr>
          <w:rFonts w:asciiTheme="minorHAnsi" w:hAnsiTheme="minorHAnsi" w:cstheme="minorHAnsi"/>
          <w:color w:val="000000"/>
          <w:sz w:val="22"/>
          <w:szCs w:val="22"/>
        </w:rPr>
        <w:t xml:space="preserve">Ispred članka 9. mijenja se naslov i glasi: </w:t>
      </w:r>
      <w:r>
        <w:rPr>
          <w:rFonts w:asciiTheme="minorHAnsi" w:hAnsiTheme="minorHAnsi" w:cstheme="minorHAnsi"/>
          <w:b/>
          <w:color w:val="000000"/>
          <w:sz w:val="22"/>
          <w:szCs w:val="22"/>
        </w:rPr>
        <w:t xml:space="preserve">''Voditelj računovodstva u školi I''</w:t>
      </w:r>
    </w:p>
    <w:p>
      <w:pPr>
        <w:pStyle w:val="Tijeloteksta"/>
        <w:spacing/>
        <w:rPr>
          <w:rFonts w:asciiTheme="minorHAnsi" w:hAnsiTheme="minorHAnsi" w:cstheme="minorHAnsi"/>
          <w:b/>
          <w:color w:val="000000"/>
          <w:sz w:val="22"/>
          <w:szCs w:val="22"/>
        </w:rPr>
      </w:pP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9. mijenja se i glasi:</w:t>
      </w:r>
    </w:p>
    <w:p>
      <w:pPr>
        <w:pStyle w:val="Tijeloteksta"/>
        <w:spacing/>
        <w:rPr>
          <w:rFonts w:asciiTheme="minorHAnsi" w:hAnsiTheme="minorHAnsi" w:cstheme="minorHAnsi"/>
          <w:color w:val="000000"/>
          <w:sz w:val="22"/>
          <w:szCs w:val="22"/>
        </w:rPr>
      </w:pP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''(1)Voditelj računovodstva u školi I obavlja poslove voditelja računovodstva.</w:t>
      </w:r>
    </w:p>
    <w:p>
      <w:pPr>
        <w:pStyle w:val="Tijeloteksta"/>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(2) Uvjeti za obavljanje poslova voditelja računovodstva iz stavka 1. ovog članka su</w:t>
      </w:r>
    </w:p>
    <w:p>
      <w:pPr>
        <w:pStyle w:val="Tijeloteksta"/>
        <w:numPr>
          <w:ilvl w:val="0"/>
          <w:numId w:val="4"/>
        </w:numPr>
        <w:spacing/>
        <w:rPr>
          <w:rFonts w:asciiTheme="minorHAnsi" w:hAnsiTheme="minorHAnsi" w:cstheme="minorHAnsi"/>
          <w:sz w:val="22"/>
          <w:szCs w:val="22"/>
        </w:rPr>
      </w:pPr>
      <w:r>
        <w:rPr>
          <w:rFonts w:asciiTheme="minorHAnsi" w:hAnsiTheme="minorHAnsi" w:cstheme="minorHAnsi"/>
          <w:sz w:val="22"/>
          <w:szCs w:val="22"/>
        </w:rPr>
        <w:t xml:space="preserve">završen sveučilišni diplomski studij </w:t>
      </w:r>
      <w:r>
        <w:rPr>
          <w:rFonts w:asciiTheme="minorHAnsi" w:hAnsiTheme="minorHAnsi" w:cstheme="minorHAnsi"/>
          <w:sz w:val="22"/>
          <w:szCs w:val="22"/>
          <w:lang w:val="en-US"/>
        </w:rPr>
        <w:t xml:space="preserve">u </w:t>
      </w:r>
      <w:r>
        <w:rPr>
          <w:rFonts w:asciiTheme="minorHAnsi" w:hAnsiTheme="minorHAnsi" w:cstheme="minorHAnsi"/>
          <w:sz w:val="22"/>
          <w:szCs w:val="22"/>
          <w:lang w:val="en-US"/>
        </w:rPr>
        <w:t xml:space="preserve">polju</w:t>
      </w:r>
      <w:r>
        <w:rPr>
          <w:rFonts w:asciiTheme="minorHAnsi" w:hAnsiTheme="minorHAnsi" w:cstheme="minorHAnsi"/>
          <w:sz w:val="22"/>
          <w:szCs w:val="22"/>
          <w:lang w:val="en-US"/>
        </w:rPr>
        <w:t xml:space="preserve"> </w:t>
      </w:r>
      <w:r>
        <w:rPr>
          <w:rFonts w:asciiTheme="minorHAnsi" w:hAnsiTheme="minorHAnsi" w:cstheme="minorHAnsi"/>
          <w:sz w:val="22"/>
          <w:szCs w:val="22"/>
        </w:rPr>
        <w:t xml:space="preserve">ekonomije ili s</w:t>
      </w:r>
      <w:r>
        <w:rPr>
          <w:rFonts w:asciiTheme="minorHAnsi" w:hAnsiTheme="minorHAnsi" w:cstheme="minorHAnsi"/>
          <w:sz w:val="22"/>
          <w:szCs w:val="22"/>
          <w:lang w:val="en-US"/>
        </w:rPr>
        <w:t xml:space="preserve">tručni</w:t>
      </w:r>
      <w:r>
        <w:rPr>
          <w:rFonts w:asciiTheme="minorHAnsi" w:hAnsiTheme="minorHAnsi" w:cstheme="minorHAnsi"/>
          <w:sz w:val="22"/>
          <w:szCs w:val="22"/>
        </w:rPr>
        <w:t xml:space="preserve"> diplomski studij </w:t>
      </w:r>
      <w:r>
        <w:rPr>
          <w:rFonts w:asciiTheme="minorHAnsi" w:hAnsiTheme="minorHAnsi" w:cstheme="minorHAnsi"/>
          <w:sz w:val="22"/>
          <w:szCs w:val="22"/>
          <w:lang w:val="en-US"/>
        </w:rPr>
        <w:t xml:space="preserve">u </w:t>
      </w:r>
      <w:r>
        <w:rPr>
          <w:rFonts w:asciiTheme="minorHAnsi" w:hAnsiTheme="minorHAnsi" w:cstheme="minorHAnsi"/>
          <w:sz w:val="22"/>
          <w:szCs w:val="22"/>
          <w:lang w:val="en-US"/>
        </w:rPr>
        <w:t xml:space="preserve">polju</w:t>
      </w:r>
      <w:r>
        <w:rPr>
          <w:rFonts w:asciiTheme="minorHAnsi" w:hAnsiTheme="minorHAnsi" w:cstheme="minorHAnsi"/>
          <w:sz w:val="22"/>
          <w:szCs w:val="22"/>
          <w:lang w:val="en-US"/>
        </w:rPr>
        <w:t xml:space="preserve"> </w:t>
      </w:r>
      <w:r>
        <w:rPr>
          <w:rFonts w:asciiTheme="minorHAnsi" w:hAnsiTheme="minorHAnsi" w:cstheme="minorHAnsi"/>
          <w:sz w:val="22"/>
          <w:szCs w:val="22"/>
        </w:rPr>
        <w:t xml:space="preserve">ekonomije</w:t>
      </w:r>
      <w:r>
        <w:rPr>
          <w:rFonts w:asciiTheme="minorHAnsi" w:hAnsiTheme="minorHAnsi" w:cstheme="minorHAnsi"/>
          <w:sz w:val="22"/>
          <w:szCs w:val="22"/>
          <w:lang w:val="en-US"/>
        </w:rPr>
        <w:t xml:space="preserve">,</w:t>
      </w:r>
      <w:r>
        <w:rPr>
          <w:rFonts w:asciiTheme="minorHAnsi" w:hAnsiTheme="minorHAnsi" w:cstheme="minorHAnsi"/>
          <w:sz w:val="22"/>
          <w:szCs w:val="22"/>
        </w:rPr>
        <w:t xml:space="preserve"> odnosno visoka stručna sprema ekonomske struke stečena prema ranijim propisima,</w:t>
      </w:r>
    </w:p>
    <w:p>
      <w:pPr>
        <w:pStyle w:val="Tijeloteksta"/>
        <w:numPr>
          <w:ilvl w:val="0"/>
          <w:numId w:val="4"/>
        </w:numPr>
        <w:spacing/>
        <w:rPr>
          <w:rFonts w:asciiTheme="minorHAnsi" w:hAnsiTheme="minorHAnsi" w:cstheme="minorHAnsi"/>
          <w:sz w:val="22"/>
          <w:szCs w:val="22"/>
        </w:rPr>
      </w:pPr>
      <w:r>
        <w:rPr>
          <w:rFonts w:asciiTheme="minorHAnsi" w:hAnsiTheme="minorHAnsi" w:cstheme="minorHAnsi"/>
          <w:sz w:val="22"/>
          <w:szCs w:val="22"/>
        </w:rPr>
        <w:t xml:space="preserve">završen </w:t>
      </w:r>
      <w:r>
        <w:rPr>
          <w:rFonts w:asciiTheme="minorHAnsi" w:hAnsiTheme="minorHAnsi" w:cstheme="minorHAnsi"/>
          <w:sz w:val="22"/>
          <w:szCs w:val="22"/>
          <w:lang w:val="en-US"/>
        </w:rPr>
        <w:t xml:space="preserve">sveučilišni</w:t>
      </w:r>
      <w:r>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prijediplomski</w:t>
      </w:r>
      <w:r>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studij</w:t>
      </w:r>
      <w:r>
        <w:rPr>
          <w:rFonts w:asciiTheme="minorHAnsi" w:hAnsiTheme="minorHAnsi" w:cstheme="minorHAnsi"/>
          <w:sz w:val="22"/>
          <w:szCs w:val="22"/>
          <w:lang w:val="en-US"/>
        </w:rPr>
        <w:t xml:space="preserve"> u </w:t>
      </w:r>
      <w:r>
        <w:rPr>
          <w:rFonts w:asciiTheme="minorHAnsi" w:hAnsiTheme="minorHAnsi" w:cstheme="minorHAnsi"/>
          <w:sz w:val="22"/>
          <w:szCs w:val="22"/>
          <w:lang w:val="en-US"/>
        </w:rPr>
        <w:t xml:space="preserve">polju</w:t>
      </w:r>
      <w:r>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ekonomije</w:t>
      </w:r>
      <w:r>
        <w:rPr>
          <w:rFonts w:asciiTheme="minorHAnsi" w:hAnsiTheme="minorHAnsi" w:cstheme="minorHAnsi"/>
          <w:sz w:val="22"/>
          <w:szCs w:val="22"/>
        </w:rPr>
        <w:t xml:space="preserve"> ili </w:t>
      </w:r>
      <w:r>
        <w:rPr>
          <w:rFonts w:asciiTheme="minorHAnsi" w:hAnsiTheme="minorHAnsi" w:cstheme="minorHAnsi"/>
          <w:sz w:val="22"/>
          <w:szCs w:val="22"/>
          <w:lang w:val="en-US"/>
        </w:rPr>
        <w:t xml:space="preserve">prijediplomski</w:t>
      </w:r>
      <w:r>
        <w:rPr>
          <w:rFonts w:asciiTheme="minorHAnsi" w:hAnsiTheme="minorHAnsi" w:cstheme="minorHAnsi"/>
          <w:sz w:val="22"/>
          <w:szCs w:val="22"/>
          <w:lang w:val="en-US"/>
        </w:rPr>
        <w:t xml:space="preserve"> </w:t>
      </w:r>
      <w:r>
        <w:rPr>
          <w:rFonts w:asciiTheme="minorHAnsi" w:hAnsiTheme="minorHAnsi" w:cstheme="minorHAnsi"/>
          <w:sz w:val="22"/>
          <w:szCs w:val="22"/>
        </w:rPr>
        <w:t xml:space="preserve">stručni studij </w:t>
      </w:r>
      <w:r>
        <w:rPr>
          <w:rFonts w:asciiTheme="minorHAnsi" w:hAnsiTheme="minorHAnsi" w:cstheme="minorHAnsi"/>
          <w:sz w:val="22"/>
          <w:szCs w:val="22"/>
          <w:lang w:val="en-US"/>
        </w:rPr>
        <w:t xml:space="preserve">u </w:t>
      </w:r>
      <w:r>
        <w:rPr>
          <w:rFonts w:asciiTheme="minorHAnsi" w:hAnsiTheme="minorHAnsi" w:cstheme="minorHAnsi"/>
          <w:sz w:val="22"/>
          <w:szCs w:val="22"/>
          <w:lang w:val="en-US"/>
        </w:rPr>
        <w:t xml:space="preserve">polju</w:t>
      </w:r>
      <w:r>
        <w:rPr>
          <w:rFonts w:asciiTheme="minorHAnsi" w:hAnsiTheme="minorHAnsi" w:cstheme="minorHAnsi"/>
          <w:sz w:val="22"/>
          <w:szCs w:val="22"/>
          <w:lang w:val="en-US"/>
        </w:rPr>
        <w:t xml:space="preserve"> </w:t>
      </w:r>
      <w:r>
        <w:rPr>
          <w:rFonts w:asciiTheme="minorHAnsi" w:hAnsiTheme="minorHAnsi" w:cstheme="minorHAnsi"/>
          <w:sz w:val="22"/>
          <w:szCs w:val="22"/>
        </w:rPr>
        <w:t xml:space="preserve">ekonomije</w:t>
      </w:r>
      <w:r>
        <w:rPr>
          <w:rFonts w:asciiTheme="minorHAnsi" w:hAnsiTheme="minorHAnsi" w:cstheme="minorHAnsi"/>
          <w:sz w:val="22"/>
          <w:szCs w:val="22"/>
          <w:lang w:val="en-US"/>
        </w:rPr>
        <w:t xml:space="preserve">,</w:t>
      </w:r>
      <w:r>
        <w:rPr>
          <w:rFonts w:asciiTheme="minorHAnsi" w:hAnsiTheme="minorHAnsi" w:cstheme="minorHAnsi"/>
          <w:sz w:val="22"/>
          <w:szCs w:val="22"/>
        </w:rPr>
        <w:t xml:space="preserve"> odnosno viša stručna sprema ekonomske struke stečena prema ranijim propisima ako se na natječaj ne javi osoba iz točke </w:t>
      </w:r>
      <w:r>
        <w:rPr>
          <w:rFonts w:asciiTheme="minorHAnsi" w:hAnsiTheme="minorHAnsi" w:cstheme="minorHAnsi"/>
          <w:sz w:val="22"/>
          <w:szCs w:val="22"/>
        </w:rPr>
        <w:t xml:space="preserve">a) ovog stavka</w:t>
      </w:r>
    </w:p>
    <w:p>
      <w:pPr>
        <w:pStyle w:val="Tijeloteksta"/>
        <w:spacing/>
        <w:ind w:left="720"/>
        <w:rPr>
          <w:rFonts w:asciiTheme="minorHAnsi" w:hAnsiTheme="minorHAnsi" w:cstheme="minorHAnsi"/>
          <w:sz w:val="22"/>
          <w:szCs w:val="22"/>
        </w:rPr>
      </w:pPr>
      <w:r>
        <w:rPr>
          <w:rFonts w:asciiTheme="minorHAnsi" w:hAnsiTheme="minorHAnsi" w:cstheme="minorHAnsi"/>
          <w:sz w:val="22"/>
          <w:szCs w:val="22"/>
        </w:rPr>
        <w:t xml:space="preserve">i najmanje jedna godina radnog iskustva na poslovima računovodstva.</w:t>
      </w:r>
    </w:p>
    <w:p>
      <w:pPr>
        <w:pStyle w:val="Tijeloteksta"/>
        <w:spacing/>
        <w:ind w:left="720"/>
        <w:rPr>
          <w:rFonts w:asciiTheme="minorHAnsi" w:hAnsiTheme="minorHAnsi" w:cstheme="minorHAnsi"/>
          <w:color w:val="000000"/>
          <w:sz w:val="22"/>
          <w:szCs w:val="22"/>
        </w:rPr>
      </w:pPr>
    </w:p>
    <w:p>
      <w:pPr>
        <w:pStyle w:val="Tijeloteksta"/>
        <w:spacing/>
        <w:ind w:left="720"/>
        <w:rPr>
          <w:rFonts w:asciiTheme="minorHAnsi" w:hAnsiTheme="minorHAnsi" w:cstheme="minorHAnsi"/>
          <w:color w:val="000000"/>
          <w:sz w:val="22"/>
          <w:szCs w:val="22"/>
        </w:rPr>
      </w:pPr>
    </w:p>
    <w:p>
      <w:pPr>
        <w:pStyle w:val="Tijeloteksta"/>
        <w:spacing/>
        <w:ind w:left="720"/>
        <w:rPr>
          <w:rFonts w:asciiTheme="minorHAnsi" w:hAnsiTheme="minorHAnsi" w:cstheme="minorHAnsi"/>
          <w:color w:val="000000"/>
          <w:sz w:val="22"/>
          <w:szCs w:val="22"/>
        </w:rPr>
      </w:pPr>
    </w:p>
    <w:p>
      <w:pPr>
        <w:pStyle w:val="Tijeloteksta"/>
        <w:spacing/>
        <w:ind w:left="720"/>
        <w:rPr>
          <w:rFonts w:asciiTheme="minorHAnsi" w:hAnsiTheme="minorHAnsi" w:cstheme="minorHAnsi"/>
          <w:color w:val="000000"/>
          <w:sz w:val="22"/>
          <w:szCs w:val="22"/>
        </w:rPr>
      </w:pPr>
    </w:p>
    <w:p>
      <w:pPr>
        <w:pStyle w:val="Tijeloteksta"/>
        <w:spacing/>
        <w:jc w:val="center"/>
        <w:rPr>
          <w:rFonts w:asciiTheme="minorHAnsi" w:hAnsiTheme="minorHAnsi" w:cstheme="minorHAnsi"/>
          <w:color w:val="000000"/>
          <w:sz w:val="22"/>
          <w:szCs w:val="22"/>
        </w:rPr>
      </w:pPr>
    </w:p>
    <w:p>
      <w:pPr>
        <w:pStyle w:val="Tijeloteksta"/>
        <w:spacing/>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Članak 5.</w:t>
      </w:r>
    </w:p>
    <w:p>
      <w:pPr>
        <w:pStyle w:val="Tijeloteksta"/>
        <w:spacing/>
        <w:rPr>
          <w:rFonts w:asciiTheme="minorHAnsi" w:hAnsiTheme="minorHAnsi" w:cstheme="minorHAnsi"/>
          <w:color w:val="000000"/>
          <w:sz w:val="22"/>
          <w:szCs w:val="22"/>
        </w:rPr>
      </w:pP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Naslov iznad članka10. mijenja se i glasi:</w:t>
      </w:r>
    </w:p>
    <w:p>
      <w:pPr>
        <w:pStyle w:val="Tijeloteksta2"/>
        <w:spacing w:after="0"/>
        <w:jc w:val="both"/>
        <w:rPr>
          <w:rFonts w:cstheme="minorHAnsi"/>
          <w:color w:val="000000"/>
          <w:lang w:val="en-GB"/>
        </w:rPr>
      </w:pPr>
      <w:r>
        <w:rPr>
          <w:rFonts w:cstheme="minorHAnsi"/>
          <w:b/>
          <w:lang w:val="en-GB"/>
        </w:rPr>
        <w:t xml:space="preserve">“</w:t>
      </w:r>
      <w:r>
        <w:rPr>
          <w:rFonts w:cstheme="minorHAnsi"/>
          <w:b/>
          <w:lang w:val="en-GB"/>
        </w:rPr>
        <w:t xml:space="preserve">Stručni</w:t>
      </w:r>
      <w:r>
        <w:rPr>
          <w:rFonts w:cstheme="minorHAnsi"/>
          <w:b/>
          <w:lang w:val="en-GB"/>
        </w:rPr>
        <w:t xml:space="preserve"> </w:t>
      </w:r>
      <w:r>
        <w:rPr>
          <w:rFonts w:cstheme="minorHAnsi"/>
          <w:b/>
          <w:lang w:val="en-GB"/>
        </w:rPr>
        <w:t xml:space="preserve">radnik</w:t>
      </w:r>
      <w:r>
        <w:rPr>
          <w:rFonts w:cstheme="minorHAnsi"/>
          <w:b/>
          <w:lang w:val="en-GB"/>
        </w:rPr>
        <w:t xml:space="preserve"> </w:t>
      </w:r>
      <w:r>
        <w:rPr>
          <w:rFonts w:cstheme="minorHAnsi"/>
          <w:b/>
          <w:lang w:val="en-GB"/>
        </w:rPr>
        <w:t xml:space="preserve">na</w:t>
      </w:r>
      <w:r>
        <w:rPr>
          <w:rFonts w:cstheme="minorHAnsi"/>
          <w:b/>
          <w:lang w:val="en-GB"/>
        </w:rPr>
        <w:t xml:space="preserve"> </w:t>
      </w:r>
      <w:r>
        <w:rPr>
          <w:rFonts w:cstheme="minorHAnsi"/>
          <w:b/>
          <w:lang w:val="en-GB"/>
        </w:rPr>
        <w:t xml:space="preserve">tehničkom</w:t>
      </w:r>
      <w:r>
        <w:rPr>
          <w:rFonts w:cstheme="minorHAnsi"/>
          <w:b/>
          <w:lang w:val="en-GB"/>
        </w:rPr>
        <w:t xml:space="preserve"> </w:t>
      </w:r>
      <w:r>
        <w:rPr>
          <w:rFonts w:cstheme="minorHAnsi"/>
          <w:b/>
          <w:lang w:val="en-GB"/>
        </w:rPr>
        <w:t xml:space="preserve">održavanju</w:t>
      </w:r>
      <w:r>
        <w:rPr>
          <w:rFonts w:cstheme="minorHAnsi"/>
          <w:b/>
          <w:lang w:val="en-GB"/>
        </w:rPr>
        <w:t xml:space="preserve">,</w:t>
      </w:r>
      <w:r>
        <w:rPr>
          <w:rFonts w:cstheme="minorHAnsi"/>
          <w:color w:val="000000"/>
          <w:lang w:val="en-GB"/>
        </w:rPr>
        <w:t xml:space="preserve"> </w:t>
      </w:r>
      <w:r>
        <w:rPr>
          <w:rFonts w:cstheme="minorHAnsi"/>
          <w:b/>
          <w:lang w:val="en-GB"/>
        </w:rPr>
        <w:t xml:space="preserve">Kuhar-slastičar</w:t>
      </w:r>
      <w:r>
        <w:rPr>
          <w:rFonts w:cstheme="minorHAnsi"/>
          <w:b/>
          <w:lang w:val="en-GB"/>
        </w:rPr>
        <w:t xml:space="preserve"> 2</w:t>
      </w:r>
      <w:r>
        <w:rPr>
          <w:rFonts w:cstheme="minorHAnsi"/>
          <w:b/>
          <w:lang w:val="en-GB"/>
        </w:rPr>
        <w:t xml:space="preserve">, </w:t>
      </w:r>
      <w:r>
        <w:rPr>
          <w:rFonts w:cstheme="minorHAnsi"/>
          <w:b/>
          <w:lang w:val="en-GB"/>
        </w:rPr>
        <w:t xml:space="preserve">Čistač</w:t>
      </w:r>
      <w:r>
        <w:rPr>
          <w:rFonts w:cstheme="minorHAnsi"/>
          <w:b/>
          <w:lang w:val="en-GB"/>
        </w:rPr>
        <w:t xml:space="preserve">/</w:t>
      </w:r>
      <w:r>
        <w:rPr>
          <w:rFonts w:cstheme="minorHAnsi"/>
          <w:b/>
          <w:lang w:val="en-GB"/>
        </w:rPr>
        <w:t xml:space="preserve">spremač</w:t>
      </w:r>
      <w:r>
        <w:rPr>
          <w:rFonts w:cstheme="minorHAnsi"/>
          <w:b/>
          <w:lang w:val="en-GB"/>
        </w:rPr>
        <w:t xml:space="preserve">”</w:t>
      </w:r>
    </w:p>
    <w:p>
      <w:pPr>
        <w:pStyle w:val="Tijeloteksta2"/>
        <w:spacing w:after="0" w:line="240" w:lineRule="auto"/>
        <w:jc w:val="both"/>
        <w:rPr>
          <w:rFonts w:cstheme="minorHAnsi"/>
          <w:lang w:val="en-GB"/>
        </w:rPr>
      </w:pPr>
      <w:r>
        <w:rPr>
          <w:rFonts w:cstheme="minorHAnsi"/>
          <w:lang w:val="en-GB"/>
        </w:rPr>
        <w:t xml:space="preserve">Članak</w:t>
      </w:r>
      <w:r>
        <w:rPr>
          <w:rFonts w:cstheme="minorHAnsi"/>
          <w:lang w:val="en-GB"/>
        </w:rPr>
        <w:t xml:space="preserve"> 10. </w:t>
      </w:r>
      <w:r>
        <w:rPr>
          <w:rFonts w:cstheme="minorHAnsi"/>
          <w:lang w:val="en-GB"/>
        </w:rPr>
        <w:t xml:space="preserve">mijenja</w:t>
      </w:r>
      <w:r>
        <w:rPr>
          <w:rFonts w:cstheme="minorHAnsi"/>
          <w:lang w:val="en-GB"/>
        </w:rPr>
        <w:t xml:space="preserve"> se </w:t>
      </w:r>
      <w:r>
        <w:rPr>
          <w:rFonts w:cstheme="minorHAnsi"/>
          <w:lang w:val="en-GB"/>
        </w:rPr>
        <w:t xml:space="preserve">i</w:t>
      </w:r>
      <w:r>
        <w:rPr>
          <w:rFonts w:cstheme="minorHAnsi"/>
          <w:lang w:val="en-GB"/>
        </w:rPr>
        <w:t xml:space="preserve"> </w:t>
      </w:r>
      <w:r>
        <w:rPr>
          <w:rFonts w:cstheme="minorHAnsi"/>
          <w:lang w:val="en-GB"/>
        </w:rPr>
        <w:t xml:space="preserve">glasi</w:t>
      </w:r>
      <w:r>
        <w:rPr>
          <w:rFonts w:cstheme="minorHAnsi"/>
          <w:lang w:val="en-GB"/>
        </w:rPr>
        <w:t xml:space="preserve">:</w:t>
      </w:r>
    </w:p>
    <w:p>
      <w:pPr>
        <w:spacing w:after="0" w:line="240" w:lineRule="auto"/>
        <w:jc w:val="both"/>
        <w:rPr>
          <w:rFonts w:asciiTheme="minorHAnsi" w:hAnsiTheme="minorHAnsi" w:cstheme="minorHAnsi"/>
          <w:color w:val="auto"/>
          <w:sz w:val="22"/>
        </w:rPr>
      </w:pPr>
      <w:r>
        <w:rPr>
          <w:rFonts w:asciiTheme="minorHAnsi" w:hAnsiTheme="minorHAnsi" w:cstheme="minorHAnsi"/>
          <w:sz w:val="22"/>
        </w:rPr>
        <w:t xml:space="preserve">(1</w:t>
      </w:r>
      <w:r>
        <w:rPr>
          <w:rFonts w:asciiTheme="minorHAnsi" w:hAnsiTheme="minorHAnsi" w:cstheme="minorHAnsi"/>
          <w:color w:val="auto"/>
          <w:sz w:val="22"/>
        </w:rPr>
        <w:t xml:space="preserve">) Uvjet za </w:t>
      </w:r>
      <w:r>
        <w:rPr>
          <w:rFonts w:asciiTheme="minorHAnsi" w:hAnsiTheme="minorHAnsi" w:cstheme="minorHAnsi"/>
          <w:color w:val="auto"/>
          <w:sz w:val="22"/>
          <w:lang w:val="en-GB"/>
        </w:rPr>
        <w:t xml:space="preserve">stručnog</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radnika</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na</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tehničkom</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održavanju</w:t>
      </w:r>
      <w:r>
        <w:rPr>
          <w:rFonts w:asciiTheme="minorHAnsi" w:hAnsiTheme="minorHAnsi" w:cstheme="minorHAnsi"/>
          <w:i/>
          <w:color w:val="auto"/>
          <w:sz w:val="22"/>
          <w:lang w:val="en-GB"/>
        </w:rPr>
        <w:t xml:space="preserve"> </w:t>
      </w:r>
      <w:r>
        <w:rPr>
          <w:rFonts w:asciiTheme="minorHAnsi" w:hAnsiTheme="minorHAnsi" w:cstheme="minorHAnsi"/>
          <w:color w:val="auto"/>
          <w:sz w:val="22"/>
          <w:lang w:val="en-GB"/>
        </w:rPr>
        <w:t xml:space="preserve">koji</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obavlja</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poslove</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domara</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odnosno</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školskog</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majstora</w:t>
      </w:r>
      <w:r>
        <w:rPr>
          <w:rFonts w:asciiTheme="minorHAnsi" w:hAnsiTheme="minorHAnsi" w:cstheme="minorHAnsi"/>
          <w:i/>
          <w:color w:val="auto"/>
          <w:sz w:val="22"/>
        </w:rPr>
        <w:t xml:space="preserve"> je</w:t>
      </w:r>
      <w:r>
        <w:rPr>
          <w:rFonts w:asciiTheme="minorHAnsi" w:hAnsiTheme="minorHAnsi" w:cstheme="minorHAnsi"/>
          <w:color w:val="auto"/>
          <w:sz w:val="22"/>
        </w:rPr>
        <w:t xml:space="preserve"> završena srednja škola tehničke struke te zdravstvena sposobnost za obavljanje poslova s posebnim uvjetima rada. </w:t>
      </w:r>
    </w:p>
    <w:p>
      <w:pPr>
        <w:spacing w:after="0"/>
        <w:jc w:val="both"/>
        <w:rPr>
          <w:rFonts w:asciiTheme="minorHAnsi" w:hAnsiTheme="minorHAnsi" w:cstheme="minorHAnsi"/>
          <w:color w:val="auto"/>
          <w:sz w:val="22"/>
        </w:rPr>
      </w:pPr>
      <w:r>
        <w:rPr>
          <w:rFonts w:asciiTheme="minorHAnsi" w:hAnsiTheme="minorHAnsi" w:cstheme="minorHAnsi"/>
          <w:color w:val="auto"/>
          <w:sz w:val="22"/>
        </w:rPr>
        <w:t xml:space="preserve">(2) Uvjerenje o posebnoj zdravstvenoj sposobnosti pribavlja se prije sklapanja ugovora o radu </w:t>
      </w:r>
      <w:r>
        <w:rPr>
          <w:rFonts w:asciiTheme="minorHAnsi" w:hAnsiTheme="minorHAnsi" w:cstheme="minorHAnsi"/>
          <w:color w:val="auto"/>
          <w:sz w:val="22"/>
          <w:lang w:val="en-GB"/>
        </w:rPr>
        <w:t xml:space="preserve">u </w:t>
      </w:r>
      <w:r>
        <w:rPr>
          <w:rFonts w:asciiTheme="minorHAnsi" w:hAnsiTheme="minorHAnsi" w:cstheme="minorHAnsi"/>
          <w:color w:val="auto"/>
          <w:sz w:val="22"/>
          <w:lang w:val="en-GB"/>
        </w:rPr>
        <w:t xml:space="preserve">skladu</w:t>
      </w:r>
      <w:r>
        <w:rPr>
          <w:rFonts w:asciiTheme="minorHAnsi" w:hAnsiTheme="minorHAnsi" w:cstheme="minorHAnsi"/>
          <w:color w:val="auto"/>
          <w:sz w:val="22"/>
          <w:lang w:val="en-GB"/>
        </w:rPr>
        <w:t xml:space="preserve"> s </w:t>
      </w:r>
      <w:r>
        <w:rPr>
          <w:rFonts w:asciiTheme="minorHAnsi" w:hAnsiTheme="minorHAnsi" w:cstheme="minorHAnsi"/>
          <w:color w:val="auto"/>
          <w:sz w:val="22"/>
          <w:lang w:val="en-GB"/>
        </w:rPr>
        <w:t xml:space="preserve">posebnim</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propisima</w:t>
      </w:r>
      <w:r>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te</w:t>
      </w:r>
      <w:r>
        <w:rPr>
          <w:rFonts w:asciiTheme="minorHAnsi" w:hAnsiTheme="minorHAnsi" w:cstheme="minorHAnsi"/>
          <w:color w:val="auto"/>
          <w:sz w:val="22"/>
          <w:lang w:val="en-GB"/>
        </w:rPr>
        <w:t xml:space="preserve"> </w:t>
      </w:r>
      <w:r>
        <w:rPr>
          <w:rFonts w:asciiTheme="minorHAnsi" w:hAnsiTheme="minorHAnsi" w:cstheme="minorHAnsi"/>
          <w:color w:val="auto"/>
          <w:sz w:val="22"/>
        </w:rPr>
        <w:t xml:space="preserve">dokazuje uvjerenjima ovlaštenih zdravstvenih ustanova. </w:t>
      </w:r>
    </w:p>
    <w:p>
      <w:pPr>
        <w:spacing w:after="0"/>
        <w:jc w:val="both"/>
        <w:rPr>
          <w:rFonts w:asciiTheme="minorHAnsi" w:hAnsiTheme="minorHAnsi" w:cstheme="minorHAnsi"/>
          <w:color w:val="auto"/>
          <w:sz w:val="22"/>
        </w:rPr>
      </w:pPr>
      <w:r>
        <w:rPr>
          <w:rFonts w:asciiTheme="minorHAnsi" w:hAnsiTheme="minorHAnsi" w:cstheme="minorHAnsi"/>
          <w:color w:val="auto"/>
          <w:sz w:val="22"/>
        </w:rPr>
        <w:t xml:space="preserve">(3) Liječnički pregled se obavlja prije sklapanja ugovora o radu, a troškove liječničkog pregleda snosi Škola.  </w:t>
      </w:r>
    </w:p>
    <w:p>
      <w:pPr>
        <w:spacing w:after="0"/>
        <w:jc w:val="both"/>
        <w:rPr>
          <w:rFonts w:asciiTheme="minorHAnsi" w:hAnsiTheme="minorHAnsi" w:cstheme="minorHAnsi"/>
          <w:color w:val="auto"/>
          <w:sz w:val="22"/>
        </w:rPr>
      </w:pPr>
      <w:r>
        <w:rPr>
          <w:rFonts w:asciiTheme="minorHAnsi" w:hAnsiTheme="minorHAnsi" w:cstheme="minorHAnsi"/>
          <w:color w:val="auto"/>
          <w:sz w:val="22"/>
        </w:rPr>
        <w:t xml:space="preserve">(4) Osoba iz stavka 1. ovoga članka koja obavlja i poslove loženja  centralnog grijanja mora imati i položen stručni ispit za ložača centralnog grijanja prema Pravilniku o poslovima upravljanja i rukovanja energetskim postrojenjima i uređajima. </w:t>
      </w:r>
    </w:p>
    <w:p>
      <w:pPr>
        <w:pStyle w:val="Tijeloteksta"/>
        <w:spacing/>
        <w:rPr>
          <w:rFonts w:asciiTheme="minorHAnsi" w:hAnsiTheme="minorHAnsi" w:cstheme="minorHAnsi"/>
          <w:sz w:val="22"/>
          <w:szCs w:val="22"/>
          <w:lang w:val="en-GB"/>
        </w:rPr>
      </w:pPr>
      <w:r>
        <w:rPr>
          <w:rFonts w:asciiTheme="minorHAnsi" w:hAnsiTheme="minorHAnsi" w:cstheme="minorHAnsi"/>
          <w:sz w:val="22"/>
          <w:szCs w:val="22"/>
          <w:lang w:eastAsia="hr-HR"/>
        </w:rPr>
        <w:t xml:space="preserve"> (5) </w:t>
      </w:r>
      <w:r>
        <w:rPr>
          <w:rFonts w:asciiTheme="minorHAnsi" w:hAnsiTheme="minorHAnsi" w:cstheme="minorHAnsi"/>
          <w:sz w:val="22"/>
          <w:szCs w:val="22"/>
        </w:rPr>
        <w:t xml:space="preserve">Uvjet za radno  mjesto kuhara–slastičara 2 koji obavlja poslove kuhara je završena srednja škola - program kuhar odnosno KV kuhar i završen tečaj higijenskog minimuma.</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(6) Uvjet za radno mjesto čistača/spremača je završena osnovna škola.</w:t>
      </w:r>
    </w:p>
    <w:p>
      <w:pPr>
        <w:pStyle w:val="Tijeloteksta"/>
        <w:spacing/>
        <w:rPr>
          <w:rFonts w:asciiTheme="minorHAnsi" w:hAnsiTheme="minorHAnsi" w:cstheme="minorHAnsi"/>
          <w:color w:val="FF0000"/>
          <w:sz w:val="22"/>
          <w:szCs w:val="22"/>
        </w:rPr>
      </w:pPr>
    </w:p>
    <w:p>
      <w:pPr>
        <w:pStyle w:val="Tijeloteksta2"/>
        <w:spacing w:after="0" w:line="240" w:lineRule="auto"/>
        <w:jc w:val="center"/>
        <w:rPr>
          <w:rFonts w:cstheme="minorHAnsi"/>
          <w:color w:val="000000"/>
        </w:rPr>
      </w:pPr>
      <w:r>
        <w:rPr>
          <w:rFonts w:cstheme="minorHAnsi"/>
          <w:color w:val="000000"/>
        </w:rPr>
        <w:t xml:space="preserve">Članak 6.</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U članku 14. stavku 1. podstavci 3. i  4. mijenjaju se i glase:</w:t>
      </w:r>
    </w:p>
    <w:p>
      <w:pPr>
        <w:pStyle w:val="Tijeloteksta"/>
        <w:numPr>
          <w:ilvl w:val="0"/>
          <w:numId w:val="1"/>
        </w:numPr>
        <w:spacing/>
        <w:ind w:right="-113" w:hanging="306"/>
        <w:rPr>
          <w:rFonts w:asciiTheme="minorHAnsi" w:hAnsiTheme="minorHAnsi" w:cstheme="minorHAnsi"/>
          <w:sz w:val="22"/>
          <w:szCs w:val="22"/>
        </w:rPr>
      </w:pPr>
      <w:r>
        <w:rPr>
          <w:rFonts w:asciiTheme="minorHAnsi" w:hAnsiTheme="minorHAnsi" w:cstheme="minorHAnsi"/>
          <w:sz w:val="22"/>
          <w:szCs w:val="22"/>
        </w:rPr>
        <w:t xml:space="preserve">„do punog radnog vremena, s radnikom koji u Školi ima zasnovan radni odnos na neodređeno nepuno radno vrijeme</w:t>
      </w:r>
    </w:p>
    <w:p>
      <w:pPr>
        <w:pStyle w:val="box475750"/>
        <w:numPr>
          <w:ilvl w:val="0"/>
          <w:numId w:val="1"/>
        </w:numPr>
        <w:shd w:val="clear" w:color="auto" w:fill="FFFFFF"/>
        <w:spacing w:before="0" w:beforeAutospacing="0" w:after="48"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na zahtjev radnika zaposlenog u drugoj školskoj ustanovi  na neodređeno vrijeme, premještajem u Školu, na temelju sporazuma ravnatelja školskih ustanova“</w:t>
      </w:r>
    </w:p>
    <w:p>
      <w:pPr>
        <w:pStyle w:val="box475750"/>
        <w:shd w:val="clear" w:color="auto" w:fill="FFFFFF"/>
        <w:spacing w:before="0" w:beforeAutospacing="0" w:after="48"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U članku 14. stavku 1. dodaju se novi podstavci 5. i 6. koji glase:</w:t>
      </w:r>
    </w:p>
    <w:p>
      <w:pPr>
        <w:pStyle w:val="box475750"/>
        <w:numPr>
          <w:ilvl w:val="0"/>
          <w:numId w:val="1"/>
        </w:numPr>
        <w:shd w:val="clear" w:color="auto" w:fill="FFFFFF"/>
        <w:spacing w:before="0" w:beforeAutospacing="0" w:after="48"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„s osobom koja je tijekom studija bila korisnik državne stipendije Ministarstva znanosti i obrazovanja (dalje: MZO) za STEM nastavničke studije i koja je, sukladno uvjetima stipendiranja, preuzela obvezu rada u školskoj ustanovi. Škola će od MZO zatražiti popise i kontakte korisnika državne stipendije MZO za STEM područja, a na temelju dostavljenih podataka Škola će uputiti službeni poziv osobi za zasnivanje radnog odnosa </w:t>
      </w:r>
    </w:p>
    <w:p>
      <w:pPr>
        <w:pStyle w:val="box475750"/>
        <w:numPr>
          <w:ilvl w:val="0"/>
          <w:numId w:val="1"/>
        </w:numPr>
        <w:shd w:val="clear" w:color="auto" w:fill="FFFFFF"/>
        <w:spacing w:before="0" w:beforeAutospacing="0" w:after="48"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na poslovima </w:t>
      </w:r>
      <w:r>
        <w:rPr>
          <w:rFonts w:asciiTheme="minorHAnsi" w:hAnsiTheme="minorHAnsi" w:cstheme="minorHAnsi"/>
          <w:i/>
          <w:sz w:val="22"/>
          <w:szCs w:val="22"/>
        </w:rPr>
        <w:t xml:space="preserve">učitelja </w:t>
      </w:r>
      <w:r>
        <w:rPr>
          <w:rFonts w:asciiTheme="minorHAnsi" w:hAnsiTheme="minorHAnsi" w:cstheme="minorHAnsi"/>
          <w:sz w:val="22"/>
          <w:szCs w:val="22"/>
        </w:rPr>
        <w:t xml:space="preserve"> na određeno vrijeme do godinu dana s osobom u mirovini koja ispunjava uvjete natječaja, s mogućnošću produljenja ugovora na određeno vrijeme za dodatnih godinu dana, ali ne dulje od 67. godine života ako se na natječaj ne javi osoba koja ispunjava uvjete za </w:t>
      </w:r>
      <w:r>
        <w:rPr>
          <w:rFonts w:asciiTheme="minorHAnsi" w:hAnsiTheme="minorHAnsi" w:cstheme="minorHAnsi"/>
          <w:i/>
          <w:sz w:val="22"/>
          <w:szCs w:val="22"/>
        </w:rPr>
        <w:t xml:space="preserve">učitelja</w:t>
      </w:r>
      <w:r>
        <w:rPr>
          <w:rFonts w:asciiTheme="minorHAnsi" w:hAnsiTheme="minorHAnsi" w:cstheme="minorHAnsi"/>
          <w:sz w:val="22"/>
          <w:szCs w:val="22"/>
        </w:rPr>
        <w:t xml:space="preserve"> iz članka 105. Zakona o odgoju i obrazovanju u osnovnoj i srednjoj školi.“ </w:t>
      </w:r>
    </w:p>
    <w:p>
      <w:pPr>
        <w:pStyle w:val="box475750"/>
        <w:shd w:val="clear" w:color="auto" w:fill="FFFFFF"/>
        <w:spacing w:before="0" w:beforeAutospacing="0" w:after="48" w:afterAutospacing="0"/>
        <w:textAlignment w:val="baseline"/>
        <w:rPr>
          <w:rFonts w:asciiTheme="minorHAnsi" w:hAnsiTheme="minorHAnsi" w:cstheme="minorHAnsi"/>
          <w:sz w:val="22"/>
          <w:szCs w:val="22"/>
        </w:rPr>
      </w:pPr>
    </w:p>
    <w:p>
      <w:pPr>
        <w:pStyle w:val="box475750"/>
        <w:shd w:val="clear" w:color="auto" w:fill="FFFFFF"/>
        <w:spacing w:before="0" w:beforeAutospacing="0" w:after="48"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Dosadašnji podstavak 5. postaje podstavak 7.</w:t>
      </w:r>
    </w:p>
    <w:p>
      <w:pPr>
        <w:pStyle w:val="Tijeloteksta"/>
        <w:tabs>
          <w:tab w:val="num" w:pos="1418"/>
        </w:tabs>
        <w:spacing/>
        <w:ind w:right="-113"/>
        <w:rPr>
          <w:rFonts w:asciiTheme="minorHAnsi" w:hAnsiTheme="minorHAnsi" w:cstheme="minorHAnsi"/>
          <w:i/>
          <w:color w:val="000000"/>
          <w:sz w:val="22"/>
          <w:szCs w:val="22"/>
        </w:rPr>
      </w:pPr>
    </w:p>
    <w:p>
      <w:pPr>
        <w:pStyle w:val="Tijeloteksta"/>
        <w:tabs>
          <w:tab w:val="num" w:pos="1418"/>
        </w:tabs>
        <w:spacing/>
        <w:ind w:right="-113"/>
        <w:jc w:val="center"/>
        <w:rPr>
          <w:rFonts w:asciiTheme="minorHAnsi" w:hAnsiTheme="minorHAnsi" w:cstheme="minorHAnsi"/>
          <w:sz w:val="22"/>
          <w:szCs w:val="22"/>
        </w:rPr>
      </w:pPr>
      <w:r>
        <w:rPr>
          <w:rFonts w:asciiTheme="minorHAnsi" w:hAnsiTheme="minorHAnsi" w:cstheme="minorHAnsi"/>
          <w:sz w:val="22"/>
          <w:szCs w:val="22"/>
        </w:rPr>
        <w:t xml:space="preserve">Članak 7.</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U članku 26. stavku 3. dodaje se podstavak 4. koji glasi:</w:t>
      </w:r>
    </w:p>
    <w:p>
      <w:pPr>
        <w:pStyle w:val="Tijeloteksta"/>
        <w:numPr>
          <w:ilvl w:val="0"/>
          <w:numId w:val="2"/>
        </w:numPr>
        <w:spacing/>
        <w:rPr>
          <w:rFonts w:asciiTheme="minorHAnsi" w:hAnsiTheme="minorHAnsi" w:cstheme="minorHAnsi"/>
          <w:sz w:val="22"/>
          <w:szCs w:val="22"/>
        </w:rPr>
      </w:pPr>
      <w:r>
        <w:rPr>
          <w:rFonts w:asciiTheme="minorHAnsi" w:hAnsiTheme="minorHAnsi" w:cstheme="minorHAnsi"/>
          <w:sz w:val="22"/>
          <w:szCs w:val="22"/>
        </w:rPr>
        <w:t xml:space="preserve">„na poslovima učitelja na određeno vrijeme do godinu dana s osobom u mirovini koja ispunjava uvjete natječaja, s mogućnošću produljenja ugovora na određeno vrijeme za dodatnih godinu dana, ali ne dulje od 67. godine života ako se na natječaj ne javi osoba koja ispunjava uvjete za učitelja iz članka 105. Zakona o odgoju i obrazovanju u osnovnoj i srednjoj školi.“</w:t>
      </w:r>
    </w:p>
    <w:p>
      <w:pPr>
        <w:spacing w:after="0"/>
        <w:jc w:val="center"/>
        <w:rPr>
          <w:rFonts w:asciiTheme="minorHAnsi" w:hAnsiTheme="minorHAnsi" w:cstheme="minorHAnsi"/>
          <w:color w:val="auto"/>
          <w:sz w:val="22"/>
        </w:rPr>
      </w:pPr>
    </w:p>
    <w:p>
      <w:pPr>
        <w:spacing w:after="0"/>
        <w:jc w:val="center"/>
        <w:rPr>
          <w:rFonts w:asciiTheme="minorHAnsi" w:hAnsiTheme="minorHAnsi" w:cstheme="minorHAnsi"/>
          <w:color w:val="auto"/>
          <w:sz w:val="22"/>
        </w:rPr>
      </w:pPr>
    </w:p>
    <w:p>
      <w:pPr>
        <w:spacing w:after="0"/>
        <w:jc w:val="center"/>
        <w:rPr>
          <w:rFonts w:asciiTheme="minorHAnsi" w:hAnsiTheme="minorHAnsi" w:cstheme="minorHAnsi"/>
          <w:color w:val="auto"/>
          <w:sz w:val="22"/>
        </w:rPr>
      </w:pPr>
      <w:r>
        <w:rPr>
          <w:rFonts w:asciiTheme="minorHAnsi" w:hAnsiTheme="minorHAnsi" w:cstheme="minorHAnsi"/>
          <w:color w:val="auto"/>
          <w:sz w:val="22"/>
        </w:rPr>
        <w:t xml:space="preserve">Članak 8.</w:t>
      </w:r>
    </w:p>
    <w:p>
      <w:pPr>
        <w:widowControl w:val="false"/>
        <w:spacing w:after="0"/>
        <w:rPr>
          <w:rFonts w:asciiTheme="minorHAnsi" w:hAnsiTheme="minorHAnsi" w:cstheme="minorHAnsi"/>
          <w:noProof/>
          <w:color w:val="auto"/>
          <w:sz w:val="22"/>
        </w:rPr>
      </w:pPr>
      <w:r>
        <w:rPr>
          <w:rFonts w:asciiTheme="minorHAnsi" w:hAnsiTheme="minorHAnsi" w:cstheme="minorHAnsi"/>
          <w:noProof/>
          <w:color w:val="auto"/>
          <w:sz w:val="22"/>
        </w:rPr>
        <w:t xml:space="preserve">U članku 59. stavku 1. riječi: „jedan dan“ zamjenjuju se riječima: “tri dana“.</w:t>
      </w:r>
    </w:p>
    <w:p>
      <w:pPr>
        <w:widowControl w:val="false"/>
        <w:spacing w:after="0"/>
        <w:rPr>
          <w:rFonts w:asciiTheme="minorHAnsi" w:hAnsiTheme="minorHAnsi" w:cstheme="minorHAnsi"/>
          <w:noProof/>
          <w:sz w:val="22"/>
          <w:u w:val="single"/>
        </w:rPr>
      </w:pPr>
    </w:p>
    <w:p>
      <w:pPr>
        <w:widowControl w:val="false"/>
        <w:spacing w:after="0"/>
        <w:jc w:val="center"/>
        <w:rPr>
          <w:rFonts w:asciiTheme="minorHAnsi" w:hAnsiTheme="minorHAnsi" w:cstheme="minorHAnsi"/>
          <w:noProof/>
          <w:sz w:val="22"/>
        </w:rPr>
      </w:pPr>
      <w:r>
        <w:rPr>
          <w:rFonts w:asciiTheme="minorHAnsi" w:hAnsiTheme="minorHAnsi" w:cstheme="minorHAnsi"/>
          <w:noProof/>
          <w:sz w:val="22"/>
        </w:rPr>
        <w:t xml:space="preserve">Članak 9.</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U članku 65. stavku 2. ispred riječi: “rodilja“ dodaje se riječ: „trudnica“.</w:t>
      </w:r>
    </w:p>
    <w:p>
      <w:pPr>
        <w:pStyle w:val="Tijeloteksta"/>
        <w:spacing/>
        <w:rPr>
          <w:rFonts w:asciiTheme="minorHAnsi" w:hAnsiTheme="minorHAnsi" w:cstheme="minorHAnsi"/>
          <w:noProof/>
          <w:sz w:val="22"/>
        </w:rPr>
      </w:pPr>
      <w:bookmarkStart w:id="2" w:name="_GoBack"/>
      <w:bookmarkEnd w:id="2"/>
    </w:p>
    <w:p>
      <w:pPr>
        <w:widowControl w:val="false"/>
        <w:spacing w:after="0"/>
        <w:jc w:val="center"/>
        <w:rPr>
          <w:rFonts w:asciiTheme="minorHAnsi" w:hAnsiTheme="minorHAnsi" w:cstheme="minorHAnsi"/>
          <w:noProof/>
          <w:sz w:val="22"/>
        </w:rPr>
      </w:pPr>
      <w:r>
        <w:rPr>
          <w:rFonts w:asciiTheme="minorHAnsi" w:hAnsiTheme="minorHAnsi" w:cstheme="minorHAnsi"/>
          <w:noProof/>
          <w:sz w:val="22"/>
        </w:rPr>
        <w:t xml:space="preserve">Članak 10.</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U članku 74. stavak 1. mijenja se i glasi:</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„(1) Pravo radnika na plaću i naknadu plaće, pravo na otpremninu, jubilarnu nagradu, naknadu troškova prijevoza za dolazak na posao i povratak s posla, pravo na pomoć, dnevnice za službena putovanja, regres za korištenje godišnjeg odmora te ostala materijalna prava utvrđuju se i isplaćuju u skladu sa zakonskim odredbama te odredbama </w:t>
      </w:r>
      <w:r>
        <w:rPr>
          <w:rFonts w:asciiTheme="minorHAnsi" w:hAnsiTheme="minorHAnsi" w:cstheme="minorHAnsi"/>
          <w:sz w:val="22"/>
          <w:szCs w:val="22"/>
          <w:lang w:val="en-GB"/>
        </w:rPr>
        <w:t xml:space="preserve">K</w:t>
      </w:r>
      <w:r>
        <w:rPr>
          <w:rFonts w:asciiTheme="minorHAnsi" w:hAnsiTheme="minorHAnsi" w:cstheme="minorHAnsi"/>
          <w:sz w:val="22"/>
          <w:szCs w:val="22"/>
        </w:rPr>
        <w:t xml:space="preserve">olektivnih</w:t>
      </w:r>
      <w:r>
        <w:rPr>
          <w:rFonts w:asciiTheme="minorHAnsi" w:hAnsiTheme="minorHAnsi" w:cstheme="minorHAnsi"/>
          <w:sz w:val="22"/>
          <w:szCs w:val="22"/>
        </w:rPr>
        <w:t xml:space="preserve"> ugovora.“</w:t>
      </w:r>
    </w:p>
    <w:p>
      <w:pPr>
        <w:pStyle w:val="Tijeloteksta"/>
        <w:spacing/>
        <w:rPr>
          <w:rFonts w:asciiTheme="minorHAnsi" w:hAnsiTheme="minorHAnsi" w:cstheme="minorHAnsi"/>
          <w:noProof/>
          <w:sz w:val="22"/>
        </w:rPr>
      </w:pPr>
    </w:p>
    <w:p>
      <w:pPr>
        <w:widowControl w:val="false"/>
        <w:spacing w:after="0"/>
        <w:jc w:val="center"/>
        <w:rPr>
          <w:rFonts w:asciiTheme="minorHAnsi" w:hAnsiTheme="minorHAnsi" w:cstheme="minorHAnsi"/>
          <w:noProof/>
          <w:sz w:val="22"/>
        </w:rPr>
      </w:pPr>
      <w:r>
        <w:rPr>
          <w:rFonts w:asciiTheme="minorHAnsi" w:hAnsiTheme="minorHAnsi" w:cstheme="minorHAnsi"/>
          <w:noProof/>
          <w:sz w:val="22"/>
        </w:rPr>
        <w:t xml:space="preserve">Članak 11.</w:t>
      </w:r>
    </w:p>
    <w:p>
      <w:pPr>
        <w:widowControl w:val="false"/>
        <w:spacing w:after="0"/>
        <w:jc w:val="center"/>
        <w:rPr>
          <w:rFonts w:asciiTheme="minorHAnsi" w:hAnsiTheme="minorHAnsi" w:cstheme="minorHAnsi"/>
          <w:noProof/>
          <w:sz w:val="22"/>
        </w:rPr>
      </w:pPr>
    </w:p>
    <w:p>
      <w:pPr>
        <w:pStyle w:val="Tijeloteksta"/>
        <w:spacing/>
        <w:rPr>
          <w:rFonts w:asciiTheme="minorHAnsi" w:hAnsiTheme="minorHAnsi" w:cstheme="minorHAnsi"/>
          <w:b/>
          <w:sz w:val="22"/>
          <w:szCs w:val="22"/>
        </w:rPr>
      </w:pPr>
      <w:r>
        <w:rPr>
          <w:rFonts w:asciiTheme="minorHAnsi" w:hAnsiTheme="minorHAnsi" w:cstheme="minorHAnsi"/>
          <w:sz w:val="22"/>
          <w:szCs w:val="22"/>
        </w:rPr>
        <w:t xml:space="preserve">Ispred članka 90. mijenja se naslov i glasi: „</w:t>
      </w:r>
      <w:r>
        <w:rPr>
          <w:rFonts w:asciiTheme="minorHAnsi" w:hAnsiTheme="minorHAnsi" w:cstheme="minorHAnsi"/>
          <w:b/>
          <w:sz w:val="22"/>
          <w:szCs w:val="22"/>
        </w:rPr>
        <w:t xml:space="preserve">7.</w:t>
      </w:r>
      <w:r>
        <w:rPr>
          <w:rFonts w:asciiTheme="minorHAnsi" w:hAnsiTheme="minorHAnsi" w:cstheme="minorHAnsi"/>
          <w:sz w:val="22"/>
          <w:szCs w:val="22"/>
        </w:rPr>
        <w:t xml:space="preserve"> </w:t>
      </w:r>
      <w:r>
        <w:rPr>
          <w:rFonts w:asciiTheme="minorHAnsi" w:hAnsiTheme="minorHAnsi" w:cstheme="minorHAnsi"/>
          <w:b/>
          <w:sz w:val="22"/>
          <w:szCs w:val="22"/>
        </w:rPr>
        <w:t xml:space="preserve">Udaljavanje radnika od obavljanja poslova i privremeno udaljavanje“</w:t>
      </w:r>
    </w:p>
    <w:p>
      <w:pPr>
        <w:pStyle w:val="Tijeloteksta"/>
        <w:spacing/>
        <w:rPr>
          <w:rFonts w:asciiTheme="minorHAnsi" w:hAnsiTheme="minorHAnsi" w:cstheme="minorHAnsi"/>
          <w:sz w:val="22"/>
          <w:szCs w:val="22"/>
        </w:rPr>
      </w:pP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Članak 90. mijenja se i glasi:</w:t>
      </w:r>
    </w:p>
    <w:p>
      <w:pPr>
        <w:pStyle w:val="box475750"/>
        <w:shd w:val="clear" w:color="auto" w:fill="FFFFFF"/>
        <w:spacing w:before="0" w:beforeAutospacing="0" w:after="48"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„(1) Ako Škola zaprimi dokaz da je protiv osobe u radnom odnosu u školskoj ustanovi pokrenut i vodi se kazneni postupak za neko od kaznenih djela iz stavaka 1. i 2. članka 106. Zakona o odgoju i obrazovanju u osnovnoj i srednjoj školi  udaljit će osobu od obavljanja poslova do obustave kaznenog postupka, odnosno najduže do pravomoćnosti sudske presude, uz pravo na naknadu plaće u visini dvije trećine prosječne mjesečne plaće koju je osoba ostvarila u tri mjeseca prije udaljenja od obavljanja poslova.</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(2) Ako Škola sazna da je protiv osobe u radnom odnosu u školskoj ustanovi podnesena kaznena prijava za neko od kaznenih djela spolnog zlostavljanja i iskorištavanja djeteta, ravnatelj je istu dužan privremeno udaljiti od obavljanja poslova, uz pravo na naknadu plaće u visini pune mjesečne plaće koju je osoba ostvarila u tri mjeseca prije udaljenja od obavljanja poslova, do zaprimanja dokaza da je protiv osobe pokrenut kazneni postupak ili odbačena kaznena prijava.“</w:t>
      </w:r>
    </w:p>
    <w:p>
      <w:pPr>
        <w:pStyle w:val="Tijeloteksta"/>
        <w:spacing/>
        <w:rPr>
          <w:rFonts w:asciiTheme="minorHAnsi" w:hAnsiTheme="minorHAnsi" w:cstheme="minorHAnsi"/>
          <w:sz w:val="22"/>
          <w:szCs w:val="22"/>
        </w:rPr>
      </w:pPr>
    </w:p>
    <w:p>
      <w:pPr>
        <w:widowControl w:val="false"/>
        <w:spacing w:after="0"/>
        <w:jc w:val="center"/>
        <w:rPr>
          <w:rFonts w:asciiTheme="minorHAnsi" w:hAnsiTheme="minorHAnsi" w:cstheme="minorHAnsi"/>
          <w:noProof/>
          <w:sz w:val="22"/>
        </w:rPr>
      </w:pPr>
      <w:r>
        <w:rPr>
          <w:rFonts w:asciiTheme="minorHAnsi" w:hAnsiTheme="minorHAnsi" w:cstheme="minorHAnsi"/>
          <w:noProof/>
          <w:sz w:val="22"/>
        </w:rPr>
        <w:t xml:space="preserve">Članak 12.</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Naslov iznad članka 104. mijenja se i glasi:</w:t>
      </w:r>
    </w:p>
    <w:p>
      <w:pPr>
        <w:pStyle w:val="Tijeloteksta"/>
        <w:spacing/>
        <w:rPr>
          <w:rFonts w:asciiTheme="minorHAnsi" w:hAnsiTheme="minorHAnsi" w:cstheme="minorHAnsi"/>
          <w:b/>
          <w:sz w:val="22"/>
          <w:szCs w:val="22"/>
        </w:rPr>
      </w:pPr>
      <w:r>
        <w:rPr>
          <w:rFonts w:asciiTheme="minorHAnsi" w:hAnsiTheme="minorHAnsi" w:cstheme="minorHAnsi"/>
          <w:b/>
          <w:sz w:val="22"/>
          <w:szCs w:val="22"/>
        </w:rPr>
        <w:t xml:space="preserve">„ XII. PRAVO RADNIKA UPUĆENIH NA RAD U EUROPSKE ŠKOLE I NEPLAĆENI DOPUST“</w:t>
      </w:r>
    </w:p>
    <w:p>
      <w:pPr>
        <w:pStyle w:val="Tijeloteksta"/>
        <w:spacing/>
        <w:rPr>
          <w:rFonts w:asciiTheme="minorHAnsi" w:hAnsiTheme="minorHAnsi" w:cstheme="minorHAnsi"/>
          <w:sz w:val="22"/>
          <w:szCs w:val="22"/>
        </w:rPr>
      </w:pP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Članak 104. mijenja se i glasi:</w:t>
      </w:r>
    </w:p>
    <w:p>
      <w:pPr>
        <w:pStyle w:val="box475750"/>
        <w:shd w:val="clear" w:color="auto" w:fill="FFFFFF"/>
        <w:spacing w:before="0" w:beforeAutospacing="0" w:after="48"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„(1) Odgojno-obrazovni radnik koji  prije upućivanja na rad u europske škole ima u Školi zasnovan radni odnos na puno neodređeno vrijeme, ima pravo povratka na rad, na poslove koje je obavljao prije upućivanja, bez provedbe javnog natječaja, sukladno sporazumu između radnika i Škole.</w:t>
      </w:r>
    </w:p>
    <w:p>
      <w:pPr>
        <w:pStyle w:val="box475750"/>
        <w:shd w:val="clear" w:color="auto" w:fill="FFFFFF"/>
        <w:spacing w:before="0" w:beforeAutospacing="0" w:after="48"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(2) Odgojno-obrazovni radnik izabran za rad u hrvatskoj nastavi u inozemstvu ili osoba koja je izabrana za lektora hrvatskog jezika i književnosti na visokoškolskoj ustanovi u inozemstvu, a koja prije upućivanja ima zasnovan radni odnos u Školi ustanovi na neodređeno vrijeme, ima pravo povratka na rad, na poslove koje je obavljala prije upućivanja, bez provedbe javnog natječaja, sukladno sporazumu između radnika i Škole.</w:t>
      </w:r>
    </w:p>
    <w:p>
      <w:pPr>
        <w:pStyle w:val="box475750"/>
        <w:shd w:val="clear" w:color="auto" w:fill="FFFFFF"/>
        <w:spacing w:before="0" w:beforeAutospacing="0" w:after="48"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(3) Radnik iz stavaka 1. i 2. ovoga članka ima se pravo vratiti na rad u Školu ako o svojoj namjeri povratka obavijesti Školu najkasnije u roku od sedam dana od dana prestanka trajanja izbora iz stavaka 1. i 2. ovoga članka.</w:t>
      </w:r>
    </w:p>
    <w:p>
      <w:pPr>
        <w:pStyle w:val="box475750"/>
        <w:shd w:val="clear" w:color="auto" w:fill="FFFFFF"/>
        <w:spacing w:before="0" w:beforeAutospacing="0" w:after="48"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(4) Ako radnik iskoristi pravo iz stavaka 1. i 2. ovoga članka, ima pravo povratka na poslove na kojima je prethodno radio u roku od sedam dana od dana dostave obavijesti iz stavka 3. ovoga članka.“</w:t>
      </w:r>
    </w:p>
    <w:p>
      <w:pPr>
        <w:widowControl w:val="false"/>
        <w:spacing w:after="0"/>
        <w:jc w:val="center"/>
        <w:rPr>
          <w:rFonts w:asciiTheme="minorHAnsi" w:hAnsiTheme="minorHAnsi" w:cstheme="minorHAnsi"/>
          <w:noProof/>
          <w:color w:val="auto"/>
          <w:sz w:val="22"/>
        </w:rPr>
      </w:pPr>
    </w:p>
    <w:p>
      <w:pPr>
        <w:widowControl w:val="false"/>
        <w:spacing w:after="0"/>
        <w:jc w:val="center"/>
        <w:rPr>
          <w:rFonts w:asciiTheme="minorHAnsi" w:hAnsiTheme="minorHAnsi" w:cstheme="minorHAnsi"/>
          <w:noProof/>
          <w:color w:val="auto"/>
          <w:sz w:val="22"/>
        </w:rPr>
      </w:pPr>
      <w:r>
        <w:rPr>
          <w:rFonts w:asciiTheme="minorHAnsi" w:hAnsiTheme="minorHAnsi" w:cstheme="minorHAnsi"/>
          <w:noProof/>
          <w:color w:val="auto"/>
          <w:sz w:val="22"/>
        </w:rPr>
        <w:t xml:space="preserve">Članak 13.</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Članak 105. mijenja se i glasi:</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„(1) U slučajevima iz članka 104. stavaka 1. i 2. ovoga Pravilnika  kao i u drugim slučajevima u skladu s posebnim propisom ravnatelj Škole dužan je odobriti neplaćeni dopust i povratak na ugovorene poslove koje je radnik obavljao na neodređeno vrijeme. </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(2) Za vrijeme neplaćenog dopusta prema stavku 1. ovoga članka prava i obveze iz radnog odnosa ili u vezi s radnim odnosom miruju. </w:t>
      </w:r>
    </w:p>
    <w:p>
      <w:pPr>
        <w:pStyle w:val="Tijeloteksta"/>
        <w:spacing/>
        <w:rPr>
          <w:rFonts w:asciiTheme="minorHAnsi" w:hAnsiTheme="minorHAnsi" w:cstheme="minorHAnsi"/>
          <w:sz w:val="22"/>
          <w:szCs w:val="22"/>
        </w:rPr>
      </w:pPr>
      <w:r>
        <w:rPr>
          <w:rFonts w:asciiTheme="minorHAnsi" w:hAnsiTheme="minorHAnsi" w:cstheme="minorHAnsi"/>
          <w:sz w:val="22"/>
          <w:szCs w:val="22"/>
        </w:rPr>
        <w:t xml:space="preserve">(3) Ako se </w:t>
      </w:r>
      <w:r>
        <w:rPr>
          <w:rFonts w:asciiTheme="minorHAnsi" w:hAnsiTheme="minorHAnsi" w:cstheme="minorHAnsi"/>
          <w:sz w:val="22"/>
          <w:szCs w:val="22"/>
          <w:lang w:val="en-GB"/>
        </w:rPr>
        <w:t xml:space="preserve">radnik</w:t>
      </w:r>
      <w:r>
        <w:rPr>
          <w:rFonts w:asciiTheme="minorHAnsi" w:hAnsiTheme="minorHAnsi" w:cstheme="minorHAnsi"/>
          <w:sz w:val="22"/>
          <w:szCs w:val="22"/>
          <w:lang w:val="en-GB"/>
        </w:rPr>
        <w:t xml:space="preserve"> </w:t>
      </w:r>
      <w:r>
        <w:rPr>
          <w:rFonts w:asciiTheme="minorHAnsi" w:hAnsiTheme="minorHAnsi" w:cstheme="minorHAnsi"/>
          <w:sz w:val="22"/>
          <w:szCs w:val="22"/>
        </w:rPr>
        <w:t xml:space="preserve">ne vrati na rad u skladu s odlukom o neplaćenom dopustu ravnatelj Škole treba otkazati ugovor o radu izvanrednim otkazom ugovora o radu uz prethodni postupak propisan Zakonom o radu.”</w:t>
      </w:r>
    </w:p>
    <w:p>
      <w:pPr>
        <w:pStyle w:val="Tijeloteksta"/>
        <w:spacing/>
        <w:rPr>
          <w:rFonts w:asciiTheme="minorHAnsi" w:hAnsiTheme="minorHAnsi" w:cstheme="minorHAnsi"/>
          <w:b/>
          <w:sz w:val="22"/>
          <w:szCs w:val="22"/>
        </w:rPr>
      </w:pPr>
    </w:p>
    <w:p>
      <w:pPr>
        <w:pStyle w:val="Tijeloteksta"/>
        <w:spacing/>
        <w:jc w:val="center"/>
        <w:rPr>
          <w:rFonts w:asciiTheme="minorHAnsi" w:hAnsiTheme="minorHAnsi" w:cstheme="minorHAnsi"/>
          <w:sz w:val="22"/>
          <w:szCs w:val="22"/>
        </w:rPr>
      </w:pPr>
      <w:r>
        <w:rPr>
          <w:rFonts w:asciiTheme="minorHAnsi" w:hAnsiTheme="minorHAnsi" w:cstheme="minorHAnsi"/>
          <w:sz w:val="22"/>
          <w:szCs w:val="22"/>
        </w:rPr>
        <w:t xml:space="preserve">Članak 14.</w:t>
      </w:r>
    </w:p>
    <w:p>
      <w:pPr>
        <w:widowControl w:val="false"/>
        <w:spacing/>
        <w:jc w:val="both"/>
        <w:rPr>
          <w:rFonts w:ascii="Times New Roman" w:hAnsi="Times New Roman" w:eastAsiaTheme="minorHAnsi" w:cs="Times New Roman"/>
          <w:i/>
          <w:color w:val="auto"/>
          <w:sz w:val="22"/>
          <w:lang w:eastAsia="en-US"/>
        </w:rPr>
      </w:pPr>
      <w:r>
        <w:rPr>
          <w:rFonts w:asciiTheme="minorHAnsi" w:hAnsiTheme="minorHAnsi" w:cstheme="minorHAnsi"/>
          <w:noProof/>
          <w:sz w:val="22"/>
        </w:rPr>
        <w:t xml:space="preserve">Ovaj Pravilnik o izmjenama i dopunama Pravilnika o radu stupa na snagu istekom osmoga (8) dana od dana objave na oglasnoj ploči Škole.</w:t>
      </w:r>
    </w:p>
    <w:p>
      <w:pPr>
        <w:spacing w:after="0"/>
        <w:rPr>
          <w:rFonts w:asciiTheme="minorHAnsi" w:hAnsiTheme="minorHAnsi" w:eastAsiaTheme="minorHAnsi" w:cstheme="minorHAnsi"/>
          <w:color w:val="auto"/>
          <w:szCs w:val="24"/>
          <w:lang w:eastAsia="en-US"/>
        </w:rPr>
      </w:pPr>
      <w:r>
        <w:rPr>
          <w:rFonts w:ascii="Times New Roman" w:hAnsi="Times New Roman" w:eastAsiaTheme="minorHAnsi" w:cs="Times New Roman"/>
          <w:i/>
          <w:color w:val="auto"/>
          <w:sz w:val="22"/>
          <w:lang w:eastAsia="en-US"/>
        </w:rPr>
        <w:t xml:space="preserve"> </w:t>
      </w: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011-03/24-02/1</w:t>
      </w:r>
      <w:r>
        <w:rPr>
          <w:rFonts w:asciiTheme="minorHAnsi" w:hAnsiTheme="minorHAnsi" w:eastAsiaTheme="minorHAnsi" w:cstheme="minorHAnsi"/>
          <w:color w:val="auto"/>
          <w:szCs w:val="24"/>
          <w:lang w:eastAsia="en-US"/>
        </w:rPr>
        <w:t xml:space="preserve">                                                                                                                                             </w:t>
      </w:r>
    </w:p>
    <w:p>
      <w:pPr>
        <w:spacing w:after="0"/>
        <w:rPr>
          <w:rFonts w:ascii="Times New Roman" w:hAnsi="Times New Roman" w:eastAsiaTheme="minorHAnsi" w:cs="Times New Roman"/>
          <w:sz w:val="22"/>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2181-1-278-01/01-24-1</w:t>
      </w:r>
      <w:r>
        <w:rPr>
          <w:rFonts w:ascii="Times New Roman" w:hAnsi="Times New Roman" w:eastAsiaTheme="minorHAnsi" w:cs="Times New Roman"/>
          <w:i/>
          <w:color w:val="auto"/>
          <w:sz w:val="22"/>
          <w:lang w:eastAsia="en-US"/>
        </w:rPr>
        <w:t xml:space="preserve"> </w:t>
      </w:r>
      <w:r>
        <w:rPr>
          <w:rFonts w:ascii="Times New Roman" w:hAnsi="Times New Roman" w:eastAsiaTheme="minorHAnsi" w:cs="Times New Roman"/>
          <w:i/>
          <w:color w:val="auto"/>
          <w:sz w:val="22"/>
          <w:lang w:eastAsia="en-US"/>
        </w:rPr>
        <w:t xml:space="preserve"> </w:t>
      </w:r>
      <w:r>
        <w:rPr>
          <w:rFonts w:ascii="Times New Roman" w:hAnsi="Times New Roman" w:eastAsiaTheme="minorHAnsi" w:cs="Times New Roman"/>
          <w:sz w:val="22"/>
          <w:lang w:eastAsia="en-US"/>
        </w:rPr>
        <w:t xml:space="preserve">   </w:t>
      </w:r>
    </w:p>
    <w:p>
      <w:pPr>
        <w:spacing w:after="0"/>
        <w:rPr>
          <w:rFonts w:ascii="Times New Roman" w:hAnsi="Times New Roman" w:eastAsiaTheme="minorHAnsi" w:cs="Times New Roman"/>
          <w:sz w:val="22"/>
          <w:lang w:eastAsia="en-US"/>
        </w:rPr>
      </w:pPr>
    </w:p>
    <w:p>
      <w:pPr>
        <w:spacing w:after="0"/>
        <w:rPr>
          <w:rFonts w:ascii="Times New Roman" w:hAnsi="Times New Roman" w:eastAsiaTheme="minorHAnsi" w:cs="Times New Roman"/>
          <w:sz w:val="22"/>
          <w:lang w:eastAsia="en-US"/>
        </w:rPr>
      </w:pPr>
      <w:r>
        <w:rPr>
          <w:rFonts w:ascii="Times New Roman" w:hAnsi="Times New Roman" w:eastAsiaTheme="minorHAnsi" w:cs="Times New Roman"/>
          <w:sz w:val="22"/>
          <w:lang w:eastAsia="en-US"/>
        </w:rPr>
        <w:t xml:space="preserve">   </w:t>
      </w:r>
      <w:r>
        <w:rPr>
          <w:rFonts w:ascii="Times New Roman" w:hAnsi="Times New Roman" w:eastAsiaTheme="minorHAnsi" w:cs="Times New Roman"/>
          <w:color w:val="auto"/>
          <w:lang w:eastAsia="en-US"/>
        </w:rPr>
        <w:t xml:space="preserve"> </w:t>
      </w:r>
      <w:r>
        <w:rPr/>
        <w:drawing>
          <wp:inline>
            <wp:extent cx="933580" cy="933580"/>
            <wp:docPr id="1" name="Picture 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srcRect/>
                    <a:stretch>
                      <a:fillRect/>
                    </a:stretch>
                  </pic:blipFill>
                  <pic:spPr bwMode="auto">
                    <a:xfrm>
                      <a:off x="0" y="0"/>
                      <a:ext cx="933580" cy="933580"/>
                    </a:xfrm>
                    <a:prstGeom prst="rect">
                      <a:avLst/>
                    </a:prstGeom>
                  </pic:spPr>
                </pic:pic>
              </a:graphicData>
            </a:graphic>
          </wp:inline>
        </w:drawing>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sz w:val="22"/>
          <w:lang w:eastAsia="en-US"/>
        </w:rPr>
        <w:t xml:space="preserve">                                                                               </w:t>
      </w:r>
      <w:r>
        <w:rPr>
          <w:rFonts w:ascii="Times New Roman" w:hAnsi="Times New Roman" w:eastAsiaTheme="minorHAnsi" w:cs="Times New Roman"/>
          <w:sz w:val="22"/>
          <w:lang w:eastAsia="en-US"/>
        </w:rPr>
        <w:t xml:space="preserve">    </w:t>
      </w:r>
    </w:p>
    <w:p>
      <w:pPr>
        <w:spacing w:after="0"/>
        <w:rPr>
          <w:rFonts w:ascii="Times New Roman" w:hAnsi="Times New Roman" w:eastAsiaTheme="minorHAnsi" w:cs="Times New Roman"/>
          <w:sz w:val="22"/>
          <w:lang w:eastAsia="en-US"/>
        </w:rPr>
      </w:pPr>
    </w:p>
    <w:tbl>
      <w:tblPr>
        <w:tblStyle w:val="Reetkatablice"/>
        <w:tblW w:w="0" w:type="auto"/>
        <w:tblInd w:w="10" w:type="dxa"/>
        <w:tblLook w:val="04A0" w:firstRow="1" w:lastRow="0" w:firstColumn="1" w:lastColumn="0" w:noHBand="0" w:noVBand="1"/>
      </w:tblPr>
      <w:tblGrid>
        <w:gridCol w:w="4531"/>
        <w:gridCol w:w="4531"/>
      </w:tblGrid>
      <w:tr>
        <w:trPr/>
        <w:tc>
          <w:tcPr>
            <w:tcW w:type="dxa" w:w="4531"/>
            <w:tcBorders>
              <w:top w:val="nil"/>
              <w:left w:val="nil"/>
              <w:bottom w:val="nil"/>
              <w:right w:val="nil"/>
            </w:tcBorders>
          </w:tcPr>
          <w:p>
            <w:pPr>
              <w:spacing w:after="0"/>
              <w:ind w:left="0" w:firstLine="0"/>
              <w:rPr>
                <w:rFonts w:ascii="Times New Roman" w:hAnsi="Times New Roman" w:eastAsiaTheme="minorHAnsi" w:cs="Times New Roman"/>
                <w:sz w:val="22"/>
                <w:lang w:eastAsia="en-US"/>
              </w:rPr>
            </w:pPr>
          </w:p>
        </w:tc>
        <w:tc>
          <w:tcPr>
            <w:tcW w:type="dxa" w:w="4531"/>
            <w:tcBorders>
              <w:top w:val="nil"/>
              <w:left w:val="nil"/>
              <w:bottom w:val="nil"/>
              <w:right w:val="nil"/>
            </w:tcBorders>
          </w:tcPr>
          <w:p>
            <w:pPr>
              <w:spacing w:after="0"/>
              <w:ind w:left="0" w:firstLine="0"/>
              <w:jc w:val="center"/>
              <w:rPr>
                <w:rFonts w:asciiTheme="minorHAnsi" w:hAnsiTheme="minorHAnsi" w:eastAsiaTheme="minorHAnsi" w:cstheme="minorHAnsi"/>
                <w:sz w:val="22"/>
                <w:lang w:eastAsia="en-US"/>
              </w:rPr>
            </w:pPr>
            <w:r>
              <w:rPr>
                <w:rFonts w:asciiTheme="minorHAnsi" w:hAnsiTheme="minorHAnsi" w:eastAsiaTheme="minorHAnsi" w:cstheme="minorHAnsi"/>
                <w:sz w:val="22"/>
                <w:lang w:eastAsia="en-US"/>
              </w:rPr>
              <w:t xml:space="preserve">Predsjednica Školskog odbora</w:t>
            </w:r>
          </w:p>
        </w:tc>
      </w:tr>
      <w:tr>
        <w:trPr/>
        <w:tc>
          <w:tcPr>
            <w:tcW w:type="dxa" w:w="4531"/>
            <w:tcBorders>
              <w:top w:val="nil"/>
              <w:left w:val="nil"/>
              <w:bottom w:val="nil"/>
              <w:right w:val="nil"/>
            </w:tcBorders>
          </w:tcPr>
          <w:p>
            <w:pPr>
              <w:spacing w:after="0"/>
              <w:ind w:left="0" w:firstLine="0"/>
              <w:rPr>
                <w:rFonts w:ascii="Times New Roman" w:hAnsi="Times New Roman" w:eastAsiaTheme="minorHAnsi" w:cs="Times New Roman"/>
                <w:sz w:val="22"/>
                <w:lang w:eastAsia="en-US"/>
              </w:rPr>
            </w:pPr>
          </w:p>
        </w:tc>
        <w:tc>
          <w:tcPr>
            <w:tcW w:type="dxa" w:w="4531"/>
            <w:tcBorders>
              <w:top w:val="nil"/>
              <w:left w:val="nil"/>
              <w:bottom w:val="nil"/>
              <w:right w:val="nil"/>
            </w:tcBorders>
          </w:tcPr>
          <w:p>
            <w:pPr>
              <w:spacing w:after="0"/>
              <w:ind w:left="0" w:firstLine="0"/>
              <w:rPr>
                <w:rFonts w:asciiTheme="minorHAnsi" w:hAnsiTheme="minorHAnsi" w:eastAsiaTheme="minorHAnsi" w:cstheme="minorHAnsi"/>
                <w:sz w:val="22"/>
                <w:lang w:eastAsia="en-US"/>
              </w:rPr>
            </w:pPr>
            <w:r>
              <w:rPr>
                <w:rFonts w:asciiTheme="minorHAnsi" w:hAnsiTheme="minorHAnsi" w:eastAsiaTheme="minorHAnsi" w:cstheme="minorHAnsi"/>
                <w:sz w:val="22"/>
                <w:lang w:eastAsia="en-US"/>
              </w:rPr>
              <w:t xml:space="preserve">                 </w:t>
            </w:r>
            <w:r>
              <w:rPr>
                <w:rFonts w:asciiTheme="minorHAnsi" w:hAnsiTheme="minorHAnsi" w:eastAsiaTheme="minorHAnsi" w:cstheme="minorHAnsi"/>
                <w:sz w:val="22"/>
                <w:lang w:eastAsia="en-US"/>
              </w:rPr>
              <w:t xml:space="preserve">Jelica Balić</w:t>
            </w:r>
          </w:p>
        </w:tc>
      </w:tr>
    </w:tbl>
    <w:p>
      <w:pPr>
        <w:spacing w:after="0"/>
        <w:rPr>
          <w:rFonts w:ascii="Times New Roman" w:hAnsi="Times New Roman" w:eastAsiaTheme="minorHAnsi" w:cs="Times New Roman"/>
          <w:sz w:val="22"/>
          <w:lang w:eastAsia="en-US"/>
        </w:rPr>
      </w:pPr>
      <w:r>
        <w:rPr>
          <w:rFonts w:ascii="Times New Roman" w:hAnsi="Times New Roman" w:eastAsiaTheme="minorHAnsi" w:cs="Times New Roman"/>
          <w:sz w:val="22"/>
          <w:lang w:eastAsia="en-US"/>
        </w:rPr>
        <w:t xml:space="preserve">                                                                                                                          </w:t>
      </w:r>
    </w:p>
    <w:p>
      <w:pPr>
        <w:spacing w:after="0"/>
        <w:rPr>
          <w:rFonts w:asciiTheme="minorHAnsi" w:hAnsiTheme="minorHAnsi" w:eastAsiaTheme="minorHAnsi" w:cstheme="minorHAnsi"/>
          <w:sz w:val="22"/>
          <w:lang w:eastAsia="en-US"/>
        </w:rPr>
      </w:pPr>
      <w:r>
        <w:rPr>
          <w:rFonts w:asciiTheme="minorHAnsi" w:hAnsiTheme="minorHAnsi" w:eastAsiaTheme="minorHAnsi" w:cstheme="minorHAnsi"/>
          <w:sz w:val="22"/>
          <w:lang w:eastAsia="en-US"/>
        </w:rPr>
        <w:t xml:space="preserve">Ovaj Pravilnik o izmjenama i dopunama Pravilnika o  radu objavljen je na oglasnoj ploči Škole dana</w:t>
      </w:r>
      <w:r>
        <w:rPr>
          <w:rFonts w:asciiTheme="minorHAnsi" w:hAnsiTheme="minorHAnsi" w:eastAsiaTheme="minorHAnsi" w:cstheme="minorHAnsi"/>
          <w:sz w:val="22"/>
          <w:lang w:eastAsia="en-US"/>
        </w:rPr>
        <w:t xml:space="preserve"> 27.05.2024.</w:t>
      </w:r>
      <w:r>
        <w:rPr>
          <w:rFonts w:asciiTheme="minorHAnsi" w:hAnsiTheme="minorHAnsi" w:eastAsiaTheme="minorHAnsi" w:cstheme="minorHAnsi"/>
          <w:sz w:val="22"/>
          <w:lang w:eastAsia="en-US"/>
        </w:rPr>
        <w:t xml:space="preserve"> te je stupio na snagu dana</w:t>
      </w:r>
      <w:r>
        <w:rPr>
          <w:rFonts w:asciiTheme="minorHAnsi" w:hAnsiTheme="minorHAnsi" w:eastAsiaTheme="minorHAnsi" w:cstheme="minorHAnsi"/>
          <w:sz w:val="22"/>
          <w:lang w:eastAsia="en-US"/>
        </w:rPr>
        <w:t xml:space="preserve"> 04.06.2024.godine.</w:t>
      </w:r>
    </w:p>
    <w:p>
      <w:pPr>
        <w:spacing w:after="0"/>
        <w:rPr>
          <w:rFonts w:ascii="Times New Roman" w:hAnsi="Times New Roman" w:eastAsiaTheme="minorHAnsi" w:cs="Times New Roman"/>
          <w:sz w:val="22"/>
          <w:lang w:eastAsia="en-US"/>
        </w:rPr>
      </w:pPr>
    </w:p>
    <w:p>
      <w:pPr>
        <w:spacing w:after="0"/>
        <w:rPr>
          <w:rFonts w:ascii="Times New Roman" w:hAnsi="Times New Roman" w:eastAsiaTheme="minorHAnsi" w:cs="Times New Roman"/>
          <w:sz w:val="22"/>
          <w:lang w:eastAsia="en-US"/>
        </w:rPr>
      </w:pPr>
    </w:p>
    <w:tbl>
      <w:tblPr>
        <w:tblStyle w:val="Reetkatablice"/>
        <w:tblW w:w="0" w:type="auto"/>
        <w:tblInd w:w="10" w:type="dxa"/>
        <w:tblLook w:val="04A0" w:firstRow="1" w:lastRow="0" w:firstColumn="1" w:lastColumn="0" w:noHBand="0" w:noVBand="1"/>
      </w:tblPr>
      <w:tblGrid>
        <w:gridCol w:w="4531"/>
        <w:gridCol w:w="4531"/>
      </w:tblGrid>
      <w:tr>
        <w:trPr/>
        <w:tc>
          <w:tcPr>
            <w:tcW w:type="dxa" w:w="4531"/>
            <w:tcBorders>
              <w:top w:val="nil"/>
              <w:left w:val="nil"/>
              <w:bottom w:val="nil"/>
              <w:right w:val="nil"/>
            </w:tcBorders>
          </w:tcPr>
          <w:p>
            <w:pPr>
              <w:spacing w:after="0"/>
              <w:ind w:left="0" w:firstLine="0"/>
              <w:rPr>
                <w:rFonts w:ascii="Times New Roman" w:hAnsi="Times New Roman" w:eastAsiaTheme="minorHAnsi" w:cs="Times New Roman"/>
                <w:sz w:val="22"/>
                <w:lang w:eastAsia="en-US"/>
              </w:rPr>
            </w:pPr>
          </w:p>
        </w:tc>
        <w:tc>
          <w:tcPr>
            <w:tcW w:type="dxa" w:w="4531"/>
            <w:tcBorders>
              <w:top w:val="nil"/>
              <w:left w:val="nil"/>
              <w:bottom w:val="nil"/>
              <w:right w:val="nil"/>
            </w:tcBorders>
          </w:tcPr>
          <w:p>
            <w:pPr>
              <w:spacing w:after="0"/>
              <w:ind w:left="0" w:firstLine="0"/>
              <w:rPr>
                <w:rFonts w:asciiTheme="minorHAnsi" w:hAnsiTheme="minorHAnsi" w:eastAsiaTheme="minorHAnsi" w:cstheme="minorHAnsi"/>
                <w:sz w:val="22"/>
                <w:lang w:eastAsia="en-US"/>
              </w:rPr>
            </w:pPr>
            <w:r>
              <w:rPr>
                <w:rFonts w:asciiTheme="minorHAnsi" w:hAnsiTheme="minorHAnsi" w:eastAsiaTheme="minorHAnsi" w:cstheme="minorHAnsi"/>
                <w:sz w:val="22"/>
                <w:lang w:eastAsia="en-US"/>
              </w:rPr>
              <w:t xml:space="preserve">                    </w:t>
            </w:r>
            <w:r>
              <w:rPr>
                <w:rFonts w:asciiTheme="minorHAnsi" w:hAnsiTheme="minorHAnsi" w:eastAsiaTheme="minorHAnsi" w:cstheme="minorHAnsi"/>
                <w:sz w:val="22"/>
                <w:lang w:eastAsia="en-US"/>
              </w:rPr>
              <w:t xml:space="preserve">Ravnateljica</w:t>
            </w:r>
          </w:p>
        </w:tc>
      </w:tr>
      <w:tr>
        <w:trPr/>
        <w:tc>
          <w:tcPr>
            <w:tcW w:type="dxa" w:w="4531"/>
            <w:tcBorders>
              <w:top w:val="nil"/>
              <w:left w:val="nil"/>
              <w:bottom w:val="nil"/>
              <w:right w:val="nil"/>
            </w:tcBorders>
          </w:tcPr>
          <w:p>
            <w:pPr>
              <w:spacing w:after="0"/>
              <w:ind w:left="0" w:firstLine="0"/>
              <w:rPr>
                <w:rFonts w:ascii="Times New Roman" w:hAnsi="Times New Roman" w:eastAsiaTheme="minorHAnsi" w:cs="Times New Roman"/>
                <w:sz w:val="22"/>
                <w:lang w:eastAsia="en-US"/>
              </w:rPr>
            </w:pPr>
          </w:p>
        </w:tc>
        <w:tc>
          <w:tcPr>
            <w:tcW w:type="dxa" w:w="4531"/>
            <w:tcBorders>
              <w:top w:val="nil"/>
              <w:left w:val="nil"/>
              <w:bottom w:val="nil"/>
              <w:right w:val="nil"/>
            </w:tcBorders>
          </w:tcPr>
          <w:p>
            <w:pPr>
              <w:spacing w:after="0"/>
              <w:ind w:left="0" w:firstLine="0"/>
              <w:rPr>
                <w:rFonts w:asciiTheme="minorHAnsi" w:hAnsiTheme="minorHAnsi" w:eastAsiaTheme="minorHAnsi" w:cstheme="minorHAnsi"/>
                <w:sz w:val="22"/>
                <w:lang w:eastAsia="en-US"/>
              </w:rPr>
            </w:pPr>
            <w:r>
              <w:rPr>
                <w:rFonts w:asciiTheme="minorHAnsi" w:hAnsiTheme="minorHAnsi" w:eastAsiaTheme="minorHAnsi" w:cstheme="minorHAnsi"/>
                <w:sz w:val="22"/>
                <w:lang w:eastAsia="en-US"/>
              </w:rPr>
              <w:t xml:space="preserve">                    </w:t>
            </w:r>
            <w:r>
              <w:rPr>
                <w:rFonts w:asciiTheme="minorHAnsi" w:hAnsiTheme="minorHAnsi" w:eastAsiaTheme="minorHAnsi" w:cstheme="minorHAnsi"/>
                <w:sz w:val="22"/>
                <w:lang w:eastAsia="en-US"/>
              </w:rPr>
              <w:t xml:space="preserve">Marita Guć</w:t>
            </w:r>
            <w:r>
              <w:rPr>
                <w:rFonts w:asciiTheme="minorHAnsi" w:hAnsiTheme="minorHAnsi" w:eastAsiaTheme="minorHAnsi" w:cstheme="minorHAnsi"/>
                <w:sz w:val="22"/>
                <w:lang w:eastAsia="en-US"/>
              </w:rPr>
              <w:t xml:space="preserve">,</w:t>
            </w:r>
            <w:r>
              <w:rPr>
                <w:rFonts w:asciiTheme="minorHAnsi" w:hAnsiTheme="minorHAnsi" w:eastAsiaTheme="minorHAnsi" w:cstheme="minorHAnsi"/>
                <w:sz w:val="22"/>
                <w:lang w:eastAsia="en-US"/>
              </w:rPr>
              <w:t xml:space="preserve"> </w:t>
            </w:r>
            <w:r>
              <w:rPr>
                <w:rFonts w:asciiTheme="minorHAnsi" w:hAnsiTheme="minorHAnsi" w:eastAsiaTheme="minorHAnsi" w:cstheme="minorHAnsi"/>
                <w:sz w:val="22"/>
                <w:lang w:eastAsia="en-US"/>
              </w:rPr>
              <w:t xml:space="preserve">prof</w:t>
            </w:r>
            <w:r>
              <w:rPr>
                <w:rFonts w:asciiTheme="minorHAnsi" w:hAnsiTheme="minorHAnsi" w:eastAsiaTheme="minorHAnsi" w:cstheme="minorHAnsi"/>
                <w:sz w:val="22"/>
                <w:lang w:eastAsia="en-US"/>
              </w:rPr>
              <w:t xml:space="preserve">.</w:t>
            </w: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p>
            <w:pPr>
              <w:spacing w:after="0"/>
              <w:ind w:left="0" w:firstLine="0"/>
              <w:jc w:val="center"/>
              <w:rPr>
                <w:rFonts w:asciiTheme="minorHAnsi" w:hAnsiTheme="minorHAnsi" w:eastAsiaTheme="minorHAnsi" w:cstheme="minorHAnsi"/>
                <w:sz w:val="22"/>
                <w:lang w:eastAsia="en-US"/>
              </w:rPr>
            </w:pPr>
          </w:p>
        </w:tc>
      </w:tr>
      <w:tr>
        <w:trPr/>
        <w:tc>
          <w:tcPr>
            <w:tcW w:type="dxa" w:w="4531"/>
            <w:tcBorders>
              <w:top w:val="nil"/>
              <w:left w:val="nil"/>
              <w:bottom w:val="nil"/>
              <w:right w:val="nil"/>
            </w:tcBorders>
          </w:tcPr>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tc>
        <w:tc>
          <w:tcPr>
            <w:tcW w:type="dxa" w:w="4531"/>
            <w:tcBorders>
              <w:top w:val="nil"/>
              <w:left w:val="nil"/>
              <w:bottom w:val="nil"/>
              <w:right w:val="nil"/>
            </w:tcBorders>
          </w:tcPr>
          <w:p>
            <w:pPr>
              <w:spacing w:after="0"/>
              <w:ind w:left="0" w:firstLine="0"/>
              <w:jc w:val="center"/>
              <w:rPr>
                <w:rFonts w:asciiTheme="minorHAnsi" w:hAnsiTheme="minorHAnsi" w:eastAsiaTheme="minorHAnsi" w:cstheme="minorHAnsi"/>
                <w:sz w:val="22"/>
                <w:lang w:eastAsia="en-US"/>
              </w:rPr>
            </w:pPr>
          </w:p>
        </w:tc>
      </w:tr>
      <w:tr>
        <w:trPr/>
        <w:tc>
          <w:tcPr>
            <w:tcW w:type="dxa" w:w="4531"/>
            <w:tcBorders>
              <w:top w:val="nil"/>
              <w:left w:val="nil"/>
              <w:bottom w:val="nil"/>
              <w:right w:val="nil"/>
            </w:tcBorders>
          </w:tcPr>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p>
            <w:pPr>
              <w:spacing w:after="0"/>
              <w:ind w:left="0" w:firstLine="0"/>
              <w:rPr>
                <w:rFonts w:ascii="Times New Roman" w:hAnsi="Times New Roman" w:eastAsiaTheme="minorHAnsi" w:cs="Times New Roman"/>
                <w:sz w:val="22"/>
                <w:lang w:eastAsia="en-US"/>
              </w:rPr>
            </w:pPr>
          </w:p>
        </w:tc>
        <w:tc>
          <w:tcPr>
            <w:tcW w:type="dxa" w:w="4531"/>
            <w:tcBorders>
              <w:top w:val="nil"/>
              <w:left w:val="nil"/>
              <w:bottom w:val="nil"/>
              <w:right w:val="nil"/>
            </w:tcBorders>
          </w:tcPr>
          <w:p>
            <w:pPr>
              <w:spacing w:after="0"/>
              <w:ind w:left="0" w:firstLine="0"/>
              <w:jc w:val="center"/>
              <w:rPr>
                <w:rFonts w:asciiTheme="minorHAnsi" w:hAnsiTheme="minorHAnsi" w:eastAsiaTheme="minorHAnsi" w:cstheme="minorHAnsi"/>
                <w:sz w:val="22"/>
                <w:lang w:eastAsia="en-US"/>
              </w:rPr>
            </w:pPr>
          </w:p>
        </w:tc>
      </w:tr>
    </w:tbl>
    <w:p>
      <w:pPr>
        <w:spacing w:after="0"/>
        <w:rPr>
          <w:rFonts w:ascii="Times New Roman" w:hAnsi="Times New Roman" w:eastAsiaTheme="minorHAnsi" w:cs="Times New Roman"/>
          <w:sz w:val="22"/>
          <w:lang w:eastAsia="en-US"/>
        </w:rPr>
      </w:pPr>
      <w:r>
        <w:rPr>
          <w:rFonts w:ascii="Times New Roman" w:hAnsi="Times New Roman" w:eastAsiaTheme="minorHAnsi" w:cs="Times New Roman"/>
          <w:sz w:val="22"/>
          <w:lang w:eastAsia="en-US"/>
        </w:rPr>
        <w:t xml:space="preserve">                                                                                                                                               </w:t>
      </w: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charset w:val="2"/>
    <w:family w:val="auto"/>
    <w:pitch w:val="variable"/>
    <w:sig w:usb0="00000000" w:usb1="10000000" w:usb2="00000000" w:usb3="00000000" w:csb0="80000000" w:csb1="00000000"/>
  </w:font>
  <w:font w:name="Times New Roman">
    <w:charset w:val="238"/>
    <w:family w:val="roman"/>
    <w:pitch w:val="variable"/>
    <w:sig w:usb0="E0002EFF" w:usb1="C000785B" w:usb2="00000009" w:usb3="00000000" w:csb0="000001FF" w:csb1="00000000"/>
  </w:font>
  <w:font w:name="Symbol">
    <w:charset w:val="2"/>
    <w:family w:val="roman"/>
    <w:pitch w:val="variable"/>
    <w:sig w:usb0="00000000" w:usb1="10000000" w:usb2="00000000" w:usb3="00000000" w:csb0="80000000" w:csb1="00000000"/>
  </w:font>
  <w:font w:name="Courier New">
    <w:charset w:val="238"/>
    <w:family w:val="modern"/>
    <w:pitch w:val="fixed"/>
    <w:sig w:usb0="E0002EFF" w:usb1="C0007843" w:usb2="00000009" w:usb3="00000000" w:csb0="000001FF" w:csb1="00000000"/>
  </w:font>
  <w:font w:name="Calibri">
    <w:charset w:val="238"/>
    <w:family w:val="swiss"/>
    <w:pitch w:val="variable"/>
    <w:sig w:usb0="E4002EFF" w:usb1="C000247B" w:usb2="00000009" w:usb3="00000000" w:csb0="000001FF" w:csb1="00000000"/>
  </w:font>
  <w:font w:name="Arial">
    <w:charset w:val="238"/>
    <w:family w:val="swiss"/>
    <w:pitch w:val="variable"/>
    <w:sig w:usb0="E0002EFF" w:usb1="C000785B" w:usb2="00000009" w:usb3="00000000" w:csb0="000001FF" w:csb1="00000000"/>
  </w:font>
  <w:font w:name="Segoe UI">
    <w:charset w:val="238"/>
    <w:family w:val="swiss"/>
    <w:pitch w:val="variable"/>
    <w:sig w:usb0="E4002EFF" w:usb1="C000E47F" w:usb2="00000009" w:usb3="00000000" w:csb0="000001FF" w:csb1="00000000"/>
  </w:font>
  <w:font w:name="Calibri Light">
    <w:charset w:val="238"/>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432317"/>
    <w:lvl w:ilvl="0">
      <w:start w:val="1"/>
      <w:numFmt w:val="bullet"/>
      <w:suff w:val="tab"/>
      <w:lvlText w:val=""/>
      <w:pPr>
        <w:tabs>
          <w:tab w:val="num" w:pos="1440"/>
        </w:tabs>
        <w:spacing/>
        <w:ind w:left="1440" w:hanging="360"/>
      </w:pPr>
      <w:rPr>
        <w:rFonts w:ascii="Wingdings" w:hAnsi="Wingdings" w:hint="default"/>
        <w:color w:val="auto"/>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
    <w:nsid w:val="529A1A54"/>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
    <w:nsid w:val="6C802667"/>
    <w:lvl w:ilvl="0">
      <w:start w:val="1"/>
      <w:numFmt w:val="lowerLetter"/>
      <w:suff w:val="tab"/>
      <w:lvlText w:val="%1)"/>
      <w:pPr>
        <w:spacing/>
        <w:ind w:left="1080" w:hanging="360"/>
      </w:pPr>
      <w:rPr>
        <w:rFonts w:hint="default"/>
      </w:rPr>
    </w:lvl>
    <w:lvl w:ilvl="1">
      <w:start w:val="1"/>
      <w:numFmt w:val="lowerLetter"/>
      <w:suff w:val="tab"/>
      <w:lvlText w:val="%2."/>
      <w:pPr>
        <w:spacing/>
        <w:ind w:left="1800" w:hanging="360"/>
      </w:pPr>
      <w:rPr/>
    </w:lvl>
    <w:lvl w:ilvl="2">
      <w:start w:val="1"/>
      <w:numFmt w:val="lowerRoman"/>
      <w:suff w:val="tab"/>
      <w:lvlText w:val="%3."/>
      <w:lvlJc w:val="right"/>
      <w:pPr>
        <w:spacing/>
        <w:ind w:left="2520" w:hanging="180"/>
      </w:pPr>
      <w:rPr/>
    </w:lvl>
    <w:lvl w:ilvl="3">
      <w:start w:val="1"/>
      <w:numFmt w:val="decimal"/>
      <w:suff w:val="tab"/>
      <w:lvlText w:val="%4."/>
      <w:pPr>
        <w:spacing/>
        <w:ind w:left="3240" w:hanging="360"/>
      </w:pPr>
      <w:rPr/>
    </w:lvl>
    <w:lvl w:ilvl="4">
      <w:start w:val="1"/>
      <w:numFmt w:val="lowerLetter"/>
      <w:suff w:val="tab"/>
      <w:lvlText w:val="%5."/>
      <w:pPr>
        <w:spacing/>
        <w:ind w:left="3960" w:hanging="360"/>
      </w:pPr>
      <w:rPr/>
    </w:lvl>
    <w:lvl w:ilvl="5">
      <w:start w:val="1"/>
      <w:numFmt w:val="lowerRoman"/>
      <w:suff w:val="tab"/>
      <w:lvlText w:val="%6."/>
      <w:lvlJc w:val="right"/>
      <w:pPr>
        <w:spacing/>
        <w:ind w:left="4680" w:hanging="180"/>
      </w:pPr>
      <w:rPr/>
    </w:lvl>
    <w:lvl w:ilvl="6">
      <w:start w:val="1"/>
      <w:numFmt w:val="decimal"/>
      <w:suff w:val="tab"/>
      <w:lvlText w:val="%7."/>
      <w:pPr>
        <w:spacing/>
        <w:ind w:left="5400" w:hanging="360"/>
      </w:pPr>
      <w:rPr/>
    </w:lvl>
    <w:lvl w:ilvl="7">
      <w:start w:val="1"/>
      <w:numFmt w:val="lowerLetter"/>
      <w:suff w:val="tab"/>
      <w:lvlText w:val="%8."/>
      <w:pPr>
        <w:spacing/>
        <w:ind w:left="6120" w:hanging="360"/>
      </w:pPr>
      <w:rPr/>
    </w:lvl>
    <w:lvl w:ilvl="8">
      <w:start w:val="1"/>
      <w:numFmt w:val="lowerRoman"/>
      <w:suff w:val="tab"/>
      <w:lvlText w:val="%9."/>
      <w:lvlJc w:val="right"/>
      <w:pPr>
        <w:spacing/>
        <w:ind w:left="6840" w:hanging="180"/>
      </w:pPr>
      <w:r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paragraph" w:styleId="Naslov1">
    <w:name w:val="Heading 1"/>
    <w:basedOn w:val="Normal"/>
    <w:next w:val="Normal"/>
    <w:link w:val="Naslov1Char"/>
    <w:qFormat/>
    <w:pPr>
      <w:keepNext/>
      <w:spacing w:after="0" w:line="240" w:lineRule="auto"/>
      <w:ind w:left="0" w:firstLine="0"/>
      <w:jc w:val="both"/>
      <w:outlineLvl w:val="0"/>
    </w:pPr>
    <w:rPr>
      <w:rFonts w:ascii="Arial" w:hAnsi="Arial" w:eastAsia="Times New Roman" w:cs="Times New Roman"/>
      <w:b/>
      <w:color w:val="auto"/>
      <w:szCs w:val="24"/>
      <w:lang w:val="de-DE" w:eastAsia="en-US"/>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character" w:styleId="Naslov1Char" w:customStyle="1">
    <w:name w:val="Naslov 1 Char"/>
    <w:basedOn w:val="Zadanifontodlomka"/>
    <w:link w:val="Heading1"/>
    <w:rPr>
      <w:rFonts w:ascii="Arial" w:hAnsi="Arial" w:eastAsia="Times New Roman" w:cs="Times New Roman"/>
      <w:b/>
      <w:sz w:val="24"/>
      <w:szCs w:val="24"/>
      <w:lang w:val="de-DE"/>
    </w:rPr>
  </w:style>
  <w:style w:type="paragraph" w:styleId="Tijeloteksta">
    <w:name w:val="Body Text"/>
    <w:basedOn w:val="Normal"/>
    <w:link w:val="TijelotekstaChar"/>
    <w:pPr>
      <w:spacing w:after="0" w:line="240" w:lineRule="auto"/>
      <w:ind w:left="0" w:firstLine="0"/>
      <w:jc w:val="both"/>
    </w:pPr>
    <w:rPr>
      <w:rFonts w:ascii="Times New Roman" w:hAnsi="Times New Roman" w:eastAsia="Times New Roman" w:cs="Times New Roman"/>
      <w:color w:val="auto"/>
      <w:sz w:val="28"/>
      <w:szCs w:val="24"/>
      <w:lang w:eastAsia="en-US"/>
    </w:rPr>
  </w:style>
  <w:style w:type="character" w:styleId="TijelotekstaChar" w:customStyle="1">
    <w:name w:val="Tijelo teksta Char"/>
    <w:basedOn w:val="Zadanifontodlomka"/>
    <w:link w:val="BodyText"/>
    <w:rPr>
      <w:rFonts w:ascii="Times New Roman" w:hAnsi="Times New Roman" w:eastAsia="Times New Roman" w:cs="Times New Roman"/>
      <w:sz w:val="28"/>
      <w:szCs w:val="24"/>
    </w:rPr>
  </w:style>
  <w:style w:type="character" w:styleId="Naglaeno">
    <w:name w:val="Strong"/>
    <w:basedOn w:val="Zadanifontodlomka"/>
    <w:uiPriority w:val="22"/>
    <w:qFormat/>
    <w:rPr>
      <w:b/>
      <w:bCs/>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jeloteksta2">
    <w:name w:val="Body Text 2"/>
    <w:basedOn w:val="Normal"/>
    <w:link w:val="Tijeloteksta2Char"/>
    <w:uiPriority w:val="99"/>
    <w:semiHidden/>
    <w:unhideWhenUsed/>
    <w:pPr>
      <w:spacing w:after="120" w:line="480" w:lineRule="auto"/>
      <w:ind w:left="0" w:firstLine="0"/>
    </w:pPr>
    <w:rPr>
      <w:rFonts w:asciiTheme="minorHAnsi" w:hAnsiTheme="minorHAnsi" w:eastAsiaTheme="minorHAnsi" w:cstheme="minorBidi"/>
      <w:color w:val="auto"/>
      <w:sz w:val="22"/>
      <w:lang w:eastAsia="en-US"/>
    </w:rPr>
  </w:style>
  <w:style w:type="character" w:styleId="Tijeloteksta2Char" w:customStyle="1">
    <w:name w:val="Tijelo teksta 2 Char"/>
    <w:basedOn w:val="Zadanifontodlomka"/>
    <w:link w:val="BodyText2"/>
    <w:uiPriority w:val="99"/>
    <w:semiHidden/>
    <w:rPr/>
  </w:style>
  <w:style w:type="paragraph" w:styleId="box475750" w:customStyle="1">
    <w:name w:val="box_475750"/>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paragraph" w:styleId="Tekstbalonia">
    <w:name w:val="Balloon Text"/>
    <w:basedOn w:val="Normal"/>
    <w:link w:val="TekstbalončićaChar"/>
    <w:uiPriority w:val="99"/>
    <w:semiHidden/>
    <w:unhideWhenUsed/>
    <w:pPr>
      <w:spacing w:after="0" w:line="240" w:lineRule="auto"/>
    </w:pPr>
    <w:rPr>
      <w:rFonts w:ascii="Segoe UI" w:hAnsi="Segoe UI" w:cs="Segoe UI"/>
      <w:sz w:val="18"/>
      <w:szCs w:val="18"/>
    </w:rPr>
  </w:style>
  <w:style w:type="character" w:styleId="TekstbaloniaChar" w:customStyle="1">
    <w:name w:val="Tekst balončića Char"/>
    <w:basedOn w:val="Zadanifontodlomka"/>
    <w:link w:val="BalloonText"/>
    <w:uiPriority w:val="99"/>
    <w:semiHidden/>
    <w:rPr>
      <w:rFonts w:ascii="Segoe UI" w:hAnsi="Segoe UI" w:eastAsia="Calibri" w:cs="Segoe UI"/>
      <w:color w:val="000000"/>
      <w:sz w:val="18"/>
      <w:szCs w:val="18"/>
      <w:lang w:eastAsia="hr-HR"/>
    </w:rPr>
  </w:style>
</w:styles>
</file>

<file path=word/_rels/document.xml.rels>&#65279;<?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fontTable" Target="fontTable.xml"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27</TotalTime>
  <Pages>1</Pages>
  <Words>1518</Words>
  <Characters>8659</Characters>
  <Application>Microsoft Office Word</Application>
  <DocSecurity>0</DocSecurity>
  <Lines>72</Lines>
  <Paragraphs>20</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Marijana Hraste</cp:lastModifiedBy>
  <cp:lastPrinted>2024-05-17T07:10:00Z</cp:lastPrinted>
  <cp:revision>13</cp:revision>
  <dcterms:created xsi:type="dcterms:W3CDTF">2024-04-29T09:37:00Z</dcterms:created>
  <dcterms:modified xsi:type="dcterms:W3CDTF">2024-05-27T07:07:00Z</dcterms:modified>
</cp:coreProperties>
</file>