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eetkatablice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6359"/>
        <w:gridCol w:w="2713"/>
      </w:tblGrid>
      <w:tr>
        <w:trPr>
          <w:trHeight w:val="1649" w:hRule="atLeast"/>
        </w:trPr>
        <w:tc>
          <w:tcPr>
            <w:tcW w:type="dxa" w:w="6526"/>
            <w:tcBorders/>
          </w:tcPr>
          <w:p>
            <w:pPr>
              <w:spacing w:line="259" w:lineRule="auto"/>
              <w:rPr>
                <w:rFonts w:ascii="Times New Roman" w:hAnsi="Times New Roman" w:cs="Times New Roman"/>
              </w:rPr>
            </w:pPr>
            <w:bookmarkStart w:id="2" w:name="_Hlk128748807"/>
            <w:bookmarkStart w:colFirst="1" w:colLast="1" w:id="3" w:name="_GoBack"/>
            <w:r>
              <w:rPr>
                <w:rFonts w:ascii="Times New Roman" w:hAnsi="Times New Roman" w:cs="Times New Roman"/>
                <w:b/>
              </w:rPr>
              <w:t xml:space="preserve">REPUBLIKA HRVATSKA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                         </w:t>
            </w:r>
            <w:r>
              <w:rPr>
                <w:rFonts w:ascii="Times New Roman" w:hAnsi="Times New Roman" w:cs="Times New Roman"/>
                <w:b/>
              </w:rPr>
              <w:t xml:space="preserve">OSNOVNA ŠKOLA MANUŠ-SPLIT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>
            <w:p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Vukovarska 11, 21000 Split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KLASA: </w:t>
            </w:r>
            <w:r>
              <w:rPr>
                <w:rFonts w:ascii="Times New Roman" w:hAnsi="Times New Roman" w:cs="Times New Roman"/>
                <w:noProof/>
                <w:lang w:val="en-US"/>
              </w:rPr>
              <w:t xml:space="preserve">112-02/25-01/2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                   URBROJ: </w:t>
            </w:r>
            <w:r>
              <w:rPr>
                <w:rFonts w:ascii="Times New Roman" w:hAnsi="Times New Roman" w:cs="Times New Roman"/>
                <w:noProof/>
              </w:rPr>
              <w:t xml:space="preserve">2181-1-278-25-2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Split, </w:t>
            </w:r>
            <w:r>
              <w:rPr>
                <w:rFonts w:ascii="Times New Roman" w:hAnsi="Times New Roman" w:cs="Times New Roman"/>
              </w:rPr>
              <w:t xml:space="preserve">03.02.2025</w:t>
            </w:r>
            <w:r>
              <w:rPr>
                <w:rFonts w:ascii="Times New Roman" w:hAnsi="Times New Roman" w:cs="Times New Roman"/>
              </w:rPr>
              <w:t xml:space="preserve">.</w:t>
            </w:r>
          </w:p>
        </w:tc>
        <w:tc>
          <w:tcPr>
            <w:tcW w:type="dxa" w:w="2755"/>
            <w:tcBorders/>
          </w:tcPr>
          <w:p>
            <w:pPr>
              <w:spacing w:after="160" w:line="259" w:lineRule="auto"/>
              <w:jc w:val="right"/>
              <w:rPr>
                <w:rFonts w:ascii="Times New Roman" w:hAnsi="Times New Roman" w:cs="Times New Roman"/>
              </w:rPr>
            </w:pPr>
            <w:r>
              <w:rPr/>
              <w:drawing>
                <wp:inline>
                  <wp:extent cx="933580" cy="933580"/>
                  <wp:docPr id="1" name="Picture 1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580" cy="93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2"/>
      <w:bookmarkEnd w:id="3"/>
    </w:tbl>
    <w:p>
      <w:pPr>
        <w:spacing w:line="240" w:lineRule="auto"/>
        <w:rPr>
          <w:rFonts w:cstheme="minorHAnsi"/>
        </w:rPr>
      </w:pPr>
    </w:p>
    <w:p>
      <w:pPr>
        <w:spacing w:line="240" w:lineRule="auto"/>
        <w:rPr>
          <w:rFonts w:cstheme="minorHAnsi"/>
        </w:rPr>
      </w:pPr>
      <w:r>
        <w:rPr>
          <w:rFonts w:cstheme="minorHAnsi"/>
        </w:rPr>
        <w:t xml:space="preserve">Na temelju članka 107. st</w:t>
      </w:r>
      <w:r>
        <w:rPr>
          <w:rFonts w:cstheme="minorHAnsi"/>
        </w:rPr>
        <w:t xml:space="preserve">avka</w:t>
      </w:r>
      <w:r>
        <w:rPr>
          <w:rFonts w:cstheme="minorHAnsi"/>
        </w:rPr>
        <w:t xml:space="preserve"> 9. Zakona o odgoju i obrazovanju u osnovnoj i srednjoj školi </w:t>
      </w:r>
      <w:r>
        <w:rPr>
          <w:rFonts w:cstheme="minorHAnsi"/>
        </w:rPr>
        <w:t xml:space="preserve">  </w:t>
      </w:r>
      <w:r>
        <w:rPr>
          <w:rFonts w:cstheme="minorHAnsi"/>
        </w:rPr>
        <w:t xml:space="preserve">( Narodne novine br</w:t>
      </w:r>
      <w:r>
        <w:rPr>
          <w:rFonts w:cstheme="minorHAnsi"/>
        </w:rPr>
        <w:t xml:space="preserve">oj</w:t>
      </w:r>
      <w:r>
        <w:rPr>
          <w:rFonts w:cstheme="minorHAnsi"/>
        </w:rPr>
        <w:t xml:space="preserve"> 87/08, 86/09, 92/10, 105/10, 90/11, 16/12, 86/12, 94/13,</w:t>
      </w:r>
      <w:r>
        <w:rPr>
          <w:rFonts w:cstheme="minorHAnsi"/>
        </w:rPr>
        <w:t xml:space="preserve"> 152/14, 7/17, 68/18</w:t>
      </w:r>
      <w:r>
        <w:rPr>
          <w:rFonts w:cstheme="minorHAnsi"/>
        </w:rPr>
        <w:t xml:space="preserve">,</w:t>
      </w:r>
      <w:r>
        <w:rPr>
          <w:rFonts w:cstheme="minorHAnsi"/>
        </w:rPr>
        <w:t xml:space="preserve"> 98/19</w:t>
      </w:r>
      <w:r>
        <w:rPr>
          <w:rFonts w:cstheme="minorHAnsi"/>
        </w:rPr>
        <w:t xml:space="preserve">, </w:t>
      </w:r>
      <w:r>
        <w:rPr>
          <w:rFonts w:cstheme="minorHAnsi"/>
        </w:rPr>
        <w:t xml:space="preserve">64/20</w:t>
      </w:r>
      <w:r>
        <w:rPr>
          <w:rFonts w:cstheme="minorHAnsi"/>
        </w:rPr>
        <w:t xml:space="preserve">, 151/22 i 156/23</w:t>
      </w:r>
      <w:r>
        <w:rPr>
          <w:rFonts w:cstheme="minorHAnsi"/>
        </w:rPr>
        <w:t xml:space="preserve"> </w:t>
      </w:r>
      <w:r>
        <w:rPr>
          <w:rFonts w:cstheme="minorHAnsi"/>
        </w:rPr>
        <w:t xml:space="preserve">) i član</w:t>
      </w:r>
      <w:r>
        <w:rPr>
          <w:rFonts w:cstheme="minorHAnsi"/>
        </w:rPr>
        <w:t xml:space="preserve">a</w:t>
      </w:r>
      <w:r>
        <w:rPr>
          <w:rFonts w:cstheme="minorHAnsi"/>
        </w:rPr>
        <w:t xml:space="preserve">ka 1</w:t>
      </w:r>
      <w:r>
        <w:rPr>
          <w:rFonts w:cstheme="minorHAnsi"/>
        </w:rPr>
        <w:t xml:space="preserve">4</w:t>
      </w:r>
      <w:r>
        <w:rPr>
          <w:rFonts w:cstheme="minorHAnsi"/>
        </w:rPr>
        <w:t xml:space="preserve">. </w:t>
      </w:r>
      <w:r>
        <w:rPr>
          <w:rFonts w:cstheme="minorHAnsi"/>
        </w:rPr>
        <w:t xml:space="preserve">i 1</w:t>
      </w:r>
      <w:r>
        <w:rPr>
          <w:rFonts w:cstheme="minorHAnsi"/>
        </w:rPr>
        <w:t xml:space="preserve">5</w:t>
      </w:r>
      <w:r>
        <w:rPr>
          <w:rFonts w:cstheme="minorHAnsi"/>
        </w:rPr>
        <w:t xml:space="preserve">. </w:t>
      </w:r>
      <w:r>
        <w:rPr>
          <w:rFonts w:cstheme="minorHAnsi"/>
        </w:rPr>
        <w:t xml:space="preserve">Pravilnika o postupku zapošljavanja te procjeni i vrednovanju kandidata za zapošljavanje </w:t>
      </w:r>
      <w:r>
        <w:rPr>
          <w:rFonts w:cstheme="minorHAnsi"/>
          <w:color w:val="00B0F0"/>
        </w:rPr>
        <w:t xml:space="preserve"> </w:t>
      </w:r>
      <w:r>
        <w:rPr>
          <w:rFonts w:cstheme="minorHAnsi"/>
        </w:rPr>
        <w:t xml:space="preserve">Povjerenstvo za procjenu i vrednovanje kandidata za zapošljavanje d</w:t>
      </w:r>
      <w:r>
        <w:rPr>
          <w:rFonts w:cstheme="minorHAnsi"/>
        </w:rPr>
        <w:t xml:space="preserve">onosi:</w:t>
      </w:r>
    </w:p>
    <w:p>
      <w:pPr>
        <w:spacing w:line="240" w:lineRule="auto"/>
        <w:jc w:val="center"/>
        <w:rPr>
          <w:rFonts w:cstheme="minorHAnsi"/>
        </w:rPr>
      </w:pPr>
      <w:r>
        <w:rPr>
          <w:rFonts w:cstheme="minorHAnsi"/>
        </w:rPr>
        <w:t xml:space="preserve">ODLUKU</w:t>
      </w:r>
    </w:p>
    <w:p>
      <w:pPr>
        <w:spacing w:line="240" w:lineRule="auto"/>
        <w:jc w:val="center"/>
        <w:rPr>
          <w:rFonts w:cstheme="minorHAnsi"/>
        </w:rPr>
      </w:pPr>
      <w:r>
        <w:rPr>
          <w:rFonts w:cstheme="minorHAnsi"/>
        </w:rPr>
        <w:t xml:space="preserve">o načinu procjene odnosno testiranja kandidata prijavljenih na natječaj </w:t>
      </w:r>
    </w:p>
    <w:p>
      <w:pPr>
        <w:spacing w:line="240" w:lineRule="auto"/>
        <w:jc w:val="center"/>
        <w:rPr>
          <w:rFonts w:cstheme="minorHAnsi"/>
        </w:rPr>
      </w:pPr>
      <w:r>
        <w:rPr>
          <w:rFonts w:cstheme="minorHAnsi"/>
        </w:rPr>
        <w:t xml:space="preserve">I</w:t>
      </w:r>
    </w:p>
    <w:p>
      <w:pPr>
        <w:spacing/>
        <w:jc w:val="both"/>
        <w:rPr>
          <w:rFonts w:cstheme="minorHAnsi"/>
          <w:color w:val="000000"/>
        </w:rPr>
      </w:pPr>
      <w:r>
        <w:rPr>
          <w:rFonts w:cstheme="minorHAnsi"/>
        </w:rPr>
        <w:t xml:space="preserve">Za natječaj objavljen</w:t>
      </w:r>
      <w:r>
        <w:rPr>
          <w:rFonts w:cstheme="minorHAnsi"/>
        </w:rPr>
        <w:t xml:space="preserve"> </w:t>
      </w:r>
      <w:r>
        <w:rPr>
          <w:rFonts w:cstheme="minorHAnsi"/>
        </w:rPr>
        <w:t xml:space="preserve">dana </w:t>
      </w:r>
      <w:r>
        <w:rPr>
          <w:rFonts w:cstheme="minorHAnsi"/>
        </w:rPr>
        <w:t xml:space="preserve">29.01.2025</w:t>
      </w:r>
      <w:r>
        <w:rPr>
          <w:rFonts w:cstheme="minorHAnsi"/>
        </w:rPr>
        <w:t xml:space="preserve">. </w:t>
      </w:r>
      <w:r>
        <w:rPr>
          <w:rFonts w:cstheme="minorHAnsi"/>
          <w:color w:val="000000"/>
        </w:rPr>
        <w:t xml:space="preserve">na mrežnim </w:t>
      </w:r>
      <w:r>
        <w:rPr>
          <w:rFonts w:cstheme="minorHAnsi"/>
          <w:bCs/>
          <w:color w:val="000000"/>
          <w:lang w:eastAsia="hr-HR"/>
        </w:rPr>
        <w:t xml:space="preserve">stranicama i oglasnim pločama Hrvatskog zavoda za zapošljavanje te mrežnim</w:t>
      </w:r>
      <w:r>
        <w:rPr>
          <w:rFonts w:cstheme="minorHAnsi"/>
          <w:bCs/>
          <w:lang w:eastAsia="hr-HR"/>
        </w:rPr>
        <w:t xml:space="preserve"> stranicama i </w:t>
      </w:r>
      <w:r>
        <w:rPr>
          <w:rFonts w:cstheme="minorHAnsi"/>
          <w:bCs/>
          <w:color w:val="000000"/>
          <w:lang w:eastAsia="hr-HR"/>
        </w:rPr>
        <w:t xml:space="preserve">oglasnoj ploči</w:t>
      </w:r>
      <w:r>
        <w:rPr>
          <w:rFonts w:cstheme="minorHAnsi"/>
          <w:bCs/>
          <w:i/>
          <w:color w:val="00B0F0"/>
          <w:lang w:eastAsia="hr-HR"/>
        </w:rPr>
        <w:t xml:space="preserve"> </w:t>
      </w:r>
      <w:r>
        <w:rPr>
          <w:rFonts w:cstheme="minorHAnsi"/>
          <w:bCs/>
          <w:color w:val="000000"/>
          <w:lang w:eastAsia="hr-HR"/>
        </w:rPr>
        <w:t xml:space="preserve">OŠ  </w:t>
      </w:r>
      <w:r>
        <w:rPr>
          <w:rFonts w:cstheme="minorHAnsi"/>
          <w:bCs/>
          <w:color w:val="000000"/>
          <w:lang w:eastAsia="hr-HR"/>
        </w:rPr>
        <w:t xml:space="preserve">Manuš-Split</w:t>
      </w:r>
      <w:r>
        <w:rPr>
          <w:rFonts w:cstheme="minorHAnsi"/>
          <w:color w:val="000000"/>
        </w:rPr>
        <w:t xml:space="preserve"> </w:t>
      </w:r>
      <w:r>
        <w:rPr>
          <w:rFonts w:cstheme="minorHAnsi"/>
        </w:rPr>
        <w:t xml:space="preserve">za radn</w:t>
      </w:r>
      <w:r>
        <w:rPr>
          <w:rFonts w:cstheme="minorHAnsi"/>
        </w:rPr>
        <w:t xml:space="preserve">o</w:t>
      </w:r>
      <w:r>
        <w:rPr>
          <w:rFonts w:cstheme="minorHAnsi"/>
          <w:color w:val="00B0F0"/>
        </w:rPr>
        <w:t xml:space="preserve"> </w:t>
      </w:r>
      <w:r>
        <w:rPr>
          <w:rFonts w:cstheme="minorHAnsi"/>
          <w:color w:val="00B0F0"/>
        </w:rPr>
        <w:t xml:space="preserve"> </w:t>
      </w:r>
      <w:r>
        <w:rPr>
          <w:rFonts w:cstheme="minorHAnsi"/>
        </w:rPr>
        <w:t xml:space="preserve">mjest</w:t>
      </w:r>
      <w:r>
        <w:rPr>
          <w:rFonts w:cstheme="minorHAnsi"/>
        </w:rPr>
        <w:t xml:space="preserve">o</w:t>
      </w:r>
      <w:r>
        <w:rPr>
          <w:rFonts w:cstheme="minorHAnsi"/>
        </w:rPr>
        <w:t xml:space="preserve">:</w:t>
      </w:r>
    </w:p>
    <w:p>
      <w:pPr>
        <w:spacing w:line="240" w:lineRule="auto"/>
        <w:rPr>
          <w:rFonts w:cstheme="minorHAnsi"/>
        </w:rPr>
      </w:pPr>
    </w:p>
    <w:p>
      <w:pPr>
        <w:spacing w:line="240" w:lineRule="auto"/>
        <w:rPr>
          <w:rFonts w:cstheme="minorHAnsi"/>
        </w:rPr>
      </w:pPr>
      <w:r>
        <w:rPr>
          <w:rFonts w:cstheme="minorHAnsi"/>
        </w:rPr>
        <w:t xml:space="preserve">1. </w:t>
      </w:r>
      <w:r>
        <w:rPr>
          <w:rFonts w:cstheme="minorHAnsi"/>
        </w:rPr>
        <w:t xml:space="preserve">učitelj/</w:t>
      </w:r>
      <w:r>
        <w:rPr>
          <w:rFonts w:cstheme="minorHAnsi"/>
        </w:rPr>
        <w:t xml:space="preserve">ica</w:t>
      </w:r>
      <w:r>
        <w:rPr>
          <w:rFonts w:cstheme="minorHAnsi"/>
        </w:rPr>
        <w:t xml:space="preserve"> </w:t>
      </w:r>
      <w:r>
        <w:rPr>
          <w:rFonts w:cstheme="minorHAnsi"/>
        </w:rPr>
        <w:t xml:space="preserve">geografije</w:t>
      </w:r>
      <w:r>
        <w:rPr>
          <w:rFonts w:cstheme="minorHAnsi"/>
        </w:rPr>
        <w:t xml:space="preserve"> – 1 izvršitelj na određeno puno radno vrijeme</w:t>
      </w:r>
      <w:r>
        <w:rPr>
          <w:rFonts w:cstheme="minorHAnsi"/>
        </w:rPr>
        <w:t xml:space="preserve"> , </w:t>
      </w:r>
      <w:r>
        <w:rPr>
          <w:rFonts w:cstheme="minorHAnsi"/>
        </w:rPr>
        <w:t xml:space="preserve">zamjena</w:t>
      </w:r>
    </w:p>
    <w:p>
      <w:pPr>
        <w:spacing w:line="240" w:lineRule="auto"/>
        <w:rPr>
          <w:rFonts w:cstheme="minorHAnsi"/>
        </w:rPr>
      </w:pPr>
    </w:p>
    <w:p>
      <w:pPr>
        <w:spacing w:line="240" w:lineRule="auto"/>
        <w:rPr>
          <w:rFonts w:cstheme="minorHAnsi"/>
        </w:rPr>
      </w:pPr>
      <w:r>
        <w:rPr>
          <w:rFonts w:cstheme="minorHAnsi"/>
        </w:rPr>
        <w:t xml:space="preserve">utvrđuje se sljedeći način procjene odnosno testiranja kandidata:</w:t>
      </w:r>
    </w:p>
    <w:p>
      <w:pPr>
        <w:pStyle w:val="Bezproreda"/>
        <w:spacing/>
        <w:jc w:val="both"/>
        <w:rPr>
          <w:rFonts w:eastAsia="Calibri" w:cstheme="minorHAnsi"/>
        </w:rPr>
      </w:pPr>
      <w:r>
        <w:rPr>
          <w:rFonts w:eastAsia="Calibri" w:cstheme="minorHAnsi"/>
        </w:rPr>
        <w:t xml:space="preserve">procjena odnosno testiranje</w:t>
      </w:r>
      <w:r>
        <w:rPr>
          <w:rFonts w:eastAsia="Calibri" w:cstheme="minorHAnsi"/>
        </w:rPr>
        <w:t xml:space="preserve"> i vrednovanje kandidata obavit će se</w:t>
      </w:r>
      <w:r>
        <w:rPr>
          <w:rFonts w:eastAsia="Calibri" w:cstheme="minorHAnsi"/>
        </w:rPr>
        <w:t xml:space="preserve"> </w:t>
      </w:r>
      <w:r>
        <w:rPr>
          <w:rFonts w:eastAsia="Calibri" w:cstheme="minorHAnsi"/>
        </w:rPr>
        <w:t xml:space="preserve">usmeno</w:t>
      </w:r>
      <w:r>
        <w:rPr>
          <w:rFonts w:eastAsia="Calibri" w:cstheme="minorHAnsi"/>
        </w:rPr>
        <w:t xml:space="preserve"> iz poznavanja propisa koji se odnose na djelatnost osnovnog obrazovanja i to iz sljedećih propisa:</w:t>
      </w:r>
    </w:p>
    <w:p>
      <w:pPr>
        <w:pStyle w:val="Bezproreda"/>
        <w:spacing/>
        <w:jc w:val="both"/>
        <w:rPr>
          <w:rFonts w:cstheme="minorHAnsi"/>
        </w:rPr>
      </w:pPr>
    </w:p>
    <w:p>
      <w:pPr>
        <w:pStyle w:val="Bezproreda"/>
        <w:spacing/>
        <w:jc w:val="both"/>
        <w:rPr>
          <w:rFonts w:cstheme="minorHAnsi"/>
        </w:rPr>
      </w:pPr>
      <w:r>
        <w:rPr>
          <w:rFonts w:cstheme="minorHAnsi"/>
        </w:rPr>
        <w:t xml:space="preserve">1. Zakon o odgoju i obrazovanju u osnovnoj i srednjoj školi (Narodne novine, broj 87/08., 86/09., 92/10., 105/10., 90/11., 16/12., 86/12., 94/13., 152/14., 7/17. i 68/18, 98/19 i 64/20</w:t>
      </w:r>
      <w:r>
        <w:rPr>
          <w:rFonts w:cstheme="minorHAnsi"/>
        </w:rPr>
        <w:t xml:space="preserve">, 151/22 i 156/23</w:t>
      </w:r>
      <w:r>
        <w:rPr>
          <w:rFonts w:cstheme="minorHAnsi"/>
        </w:rPr>
        <w:t xml:space="preserve">)</w:t>
      </w:r>
    </w:p>
    <w:p>
      <w:pPr>
        <w:pStyle w:val="Bezproreda"/>
        <w:spacing/>
        <w:jc w:val="both"/>
        <w:rPr>
          <w:rFonts w:cstheme="minorHAnsi"/>
          <w:color w:val="000000"/>
          <w:shd w:val="clear" w:color="auto" w:fill="FFFFFF"/>
        </w:rPr>
      </w:pPr>
      <w:r>
        <w:rPr>
          <w:rFonts w:cstheme="minorHAnsi"/>
        </w:rPr>
        <w:t xml:space="preserve">2.</w:t>
      </w:r>
      <w:r>
        <w:rPr>
          <w:rFonts w:cstheme="minorHAnsi"/>
          <w:color w:val="000000"/>
          <w:shd w:val="clear" w:color="auto" w:fill="FFFFFF"/>
        </w:rPr>
        <w:t xml:space="preserve"> Pravilnik o načinima, postupcima i elementima vrednovanja učenika u osnovnoj i srednjoj školi (sa svim važećim izmjenama)</w:t>
      </w:r>
    </w:p>
    <w:p>
      <w:pPr>
        <w:pStyle w:val="Bezproreda"/>
        <w:spacing/>
        <w:jc w:val="both"/>
        <w:rPr>
          <w:rFonts w:cstheme="minorHAnsi"/>
        </w:rPr>
      </w:pPr>
      <w:r>
        <w:rPr>
          <w:rFonts w:cstheme="minorHAnsi"/>
        </w:rPr>
        <w:t xml:space="preserve">3. Pravilnik o kriterijima za izricanje pedagoških mjera ( Narodne novine broj 94/15 i 3/17)</w:t>
      </w:r>
    </w:p>
    <w:p>
      <w:pPr>
        <w:pStyle w:val="box459481"/>
        <w:shd w:val="clear" w:color="auto" w:fill="FFFFFF"/>
        <w:spacing w:before="68" w:beforeAutospacing="0" w:after="72" w:afterAutospacing="0"/>
        <w:textAlignment w:val="baseline"/>
        <w:rPr>
          <w:rFonts w:asciiTheme="minorHAnsi" w:hAnsiTheme="minorHAnsi" w:cstheme="minorHAnsi"/>
          <w:bCs/>
          <w:color w:val="231F20"/>
        </w:rPr>
      </w:pPr>
      <w:r>
        <w:rPr>
          <w:rFonts w:asciiTheme="minorHAnsi" w:hAnsiTheme="minorHAnsi" w:cstheme="minorHAnsi"/>
          <w:bCs/>
          <w:color w:val="231F20"/>
        </w:rPr>
        <w:t xml:space="preserve">4. Pravilnik o pedagoškoj dokumentaciji i evidenciji te javnim ispravama u školskim ustanovama ( Narodne novine, broj 47/17, 41/19 i 76/19 )</w:t>
      </w:r>
    </w:p>
    <w:p>
      <w:pPr>
        <w:pStyle w:val="box459481"/>
        <w:shd w:val="clear" w:color="auto" w:fill="FFFFFF"/>
        <w:spacing w:before="68" w:beforeAutospacing="0" w:after="72" w:afterAutospacing="0"/>
        <w:textAlignment w:val="baseline"/>
        <w:rPr>
          <w:rFonts w:asciiTheme="minorHAnsi" w:hAnsiTheme="minorHAnsi" w:cstheme="minorHAnsi"/>
          <w:bCs/>
          <w:color w:val="231F20"/>
        </w:rPr>
      </w:pPr>
      <w:r>
        <w:rPr>
          <w:rFonts w:asciiTheme="minorHAnsi" w:hAnsiTheme="minorHAnsi" w:cstheme="minorHAnsi"/>
          <w:bCs/>
          <w:color w:val="231F20"/>
        </w:rPr>
        <w:t xml:space="preserve">5. Kurikulum iz nastavnog predmeta:-geografija</w:t>
      </w:r>
    </w:p>
    <w:p>
      <w:pPr>
        <w:pStyle w:val="box459481"/>
        <w:shd w:val="clear" w:color="auto" w:fill="FFFFFF"/>
        <w:spacing w:before="68" w:beforeAutospacing="0" w:after="72" w:afterAutospacing="0"/>
        <w:textAlignment w:val="baseline"/>
        <w:rPr>
          <w:rFonts w:cstheme="minorHAnsi"/>
        </w:rPr>
      </w:pPr>
      <w:r>
        <w:rPr>
          <w:rFonts w:asciiTheme="minorHAnsi" w:hAnsiTheme="minorHAnsi" w:cstheme="minorHAnsi"/>
          <w:bCs/>
          <w:color w:val="231F20"/>
        </w:rPr>
        <w:t xml:space="preserve">6. </w:t>
      </w:r>
      <w:r>
        <w:rPr>
          <w:rFonts w:asciiTheme="minorHAnsi" w:hAnsiTheme="minorHAnsi" w:cstheme="minorHAnsi"/>
          <w:bCs/>
          <w:color w:val="231F20"/>
        </w:rPr>
        <w:t xml:space="preserve">Pravilnik o broju učenika u redovito i kombiniranom razrednom odjelu i odgojno obrazovnoj skupini u osnovnoj školi </w:t>
      </w:r>
    </w:p>
    <w:p>
      <w:pPr>
        <w:pStyle w:val="Bezproreda"/>
        <w:spacing/>
        <w:jc w:val="center"/>
        <w:rPr>
          <w:rFonts w:cstheme="minorHAnsi"/>
        </w:rPr>
      </w:pPr>
      <w:r>
        <w:rPr>
          <w:rFonts w:cstheme="minorHAnsi"/>
        </w:rPr>
        <w:t xml:space="preserve">II</w:t>
      </w:r>
    </w:p>
    <w:p>
      <w:pPr>
        <w:pStyle w:val="Bezproreda"/>
        <w:spacing/>
        <w:jc w:val="both"/>
        <w:rPr>
          <w:rFonts w:cstheme="minorHAnsi"/>
        </w:rPr>
      </w:pPr>
      <w:r>
        <w:rPr>
          <w:rFonts w:cstheme="minorHAnsi"/>
        </w:rPr>
        <w:t xml:space="preserve">Povjerenstvo z</w:t>
      </w:r>
      <w:r>
        <w:rPr>
          <w:rFonts w:eastAsia="Calibri" w:cstheme="minorHAnsi"/>
        </w:rPr>
        <w:t xml:space="preserve">a </w:t>
      </w:r>
      <w:r>
        <w:rPr>
          <w:rFonts w:cstheme="minorHAnsi"/>
        </w:rPr>
        <w:t xml:space="preserve">procjenu i vrednovanje kandidata za zapošljavanje će najmanje pet dana prije dana određenog za procjenu odnosno testiranje poziv na procjenu odnosno testiranje objaviti na mrežnoj stranici Osnovne škole </w:t>
      </w:r>
      <w:r>
        <w:rPr>
          <w:rFonts w:cstheme="minorHAnsi"/>
        </w:rPr>
        <w:t xml:space="preserve">Manuš-Split </w:t>
      </w:r>
      <w:r>
        <w:rPr>
          <w:rFonts w:cstheme="minorHAnsi"/>
        </w:rPr>
        <w:t xml:space="preserve">te ga elektroničkim putem dostaviti svim kandidatima koji su pravodobno dostavili potpunu i vlastoručno potpisanu prijavu sa svim prilozima odnosno ispravama i koji ispunjavaju uvjete natječaja.</w:t>
      </w:r>
    </w:p>
    <w:p>
      <w:pPr>
        <w:spacing w:line="240" w:lineRule="auto"/>
        <w:jc w:val="center"/>
        <w:rPr>
          <w:rFonts w:cstheme="minorHAnsi"/>
        </w:rPr>
      </w:pPr>
    </w:p>
    <w:p>
      <w:pPr>
        <w:spacing w:line="240" w:lineRule="auto"/>
        <w:jc w:val="center"/>
        <w:rPr>
          <w:rFonts w:cstheme="minorHAnsi"/>
        </w:rPr>
      </w:pPr>
      <w:r>
        <w:rPr>
          <w:rFonts w:cstheme="minorHAnsi"/>
        </w:rPr>
        <w:t xml:space="preserve">II</w:t>
      </w:r>
      <w:r>
        <w:rPr>
          <w:rFonts w:cstheme="minorHAnsi"/>
        </w:rPr>
        <w:t xml:space="preserve">I</w:t>
      </w:r>
    </w:p>
    <w:p>
      <w:pPr>
        <w:spacing w:line="240" w:lineRule="auto"/>
        <w:rPr>
          <w:rFonts w:cstheme="minorHAnsi"/>
        </w:rPr>
      </w:pPr>
      <w:r>
        <w:rPr>
          <w:rFonts w:cstheme="minorHAnsi"/>
        </w:rPr>
        <w:t xml:space="preserve">     Ova Odluka stupa na snagu danom donošenja.</w:t>
      </w:r>
    </w:p>
    <w:p>
      <w:pPr>
        <w:spacing w:line="240" w:lineRule="auto"/>
        <w:rPr>
          <w:rFonts w:cstheme="minorHAnsi"/>
        </w:rPr>
      </w:pPr>
      <w:r>
        <w:rPr>
          <w:rFonts w:cstheme="minorHAnsi"/>
        </w:rPr>
        <w:t xml:space="preserve">     </w:t>
      </w:r>
    </w:p>
    <w:p>
      <w:pPr>
        <w:spacing w:line="240" w:lineRule="auto"/>
        <w:jc w:val="right"/>
        <w:rPr/>
      </w:pPr>
      <w:r>
        <w:rPr>
          <w:rFonts w:cstheme="minorHAnsi"/>
        </w:rPr>
        <w:t xml:space="preserve">                                   </w:t>
      </w:r>
      <w:r>
        <w:rPr>
          <w:rFonts w:cstheme="minorHAnsi"/>
        </w:rPr>
        <w:t xml:space="preserve">                      </w:t>
      </w:r>
      <w:r>
        <w:rPr>
          <w:rFonts w:cstheme="minorHAnsi"/>
        </w:rPr>
        <w:t xml:space="preserve"> </w:t>
      </w:r>
      <w:r>
        <w:rPr>
          <w:rFonts w:cstheme="minorHAnsi"/>
        </w:rPr>
        <w:t xml:space="preserve">Povjerenstvo za procjenu odnosno testiranje i vrednovanje kandidata za zapošljavanje</w:t>
      </w:r>
    </w:p>
    <w:sectPr>
      <w:type w:val="nextPage"/>
      <w:pgSz w:w="11906" w:h="16838"/>
      <w:pgMar w:top="1417" w:right="1417" w:bottom="1417" w:left="1417" w:header="708" w:footer="708" w:gutter="0"/>
      <w:pgBorders/>
      <w:pgNumType w:fmt="decimal"/>
      <w:cols w:num="1" w:equalWidth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238"/>
    <w:family w:val="roman"/>
    <w:pitch w:val="variable"/>
    <w:sig w:usb0="E0002EFF" w:usb1="C000785B" w:usb2="00000009" w:usb3="00000000" w:csb0="000001FF" w:csb1="00000000"/>
  </w:font>
  <w:font w:name="Calibri">
    <w:charset w:val="238"/>
    <w:family w:val="swiss"/>
    <w:pitch w:val="variable"/>
    <w:sig w:usb0="E4002EFF" w:usb1="C000247B" w:usb2="00000009" w:usb3="00000000" w:csb0="000001FF" w:csb1="00000000"/>
  </w:font>
  <w:font w:name="Courier New">
    <w:charset w:val="238"/>
    <w:family w:val="modern"/>
    <w:pitch w:val="fixed"/>
    <w:sig w:usb0="E0002EFF" w:usb1="C0007843" w:usb2="00000009" w:usb3="00000000" w:csb0="000001FF" w:csb1="00000000"/>
  </w:font>
  <w:font w:name="Wingdings">
    <w:charset w:val="2"/>
    <w:family w:val="auto"/>
    <w:pitch w:val="variable"/>
    <w:sig w:usb0="00000000" w:usb1="10000000" w:usb2="00000000" w:usb3="00000000" w:csb0="80000000" w:csb1="00000000"/>
  </w:font>
  <w:font w:name="Symbol">
    <w:charset w:val="2"/>
    <w:family w:val="roman"/>
    <w:pitch w:val="variable"/>
    <w:sig w:usb0="00000000" w:usb1="10000000" w:usb2="00000000" w:usb3="00000000" w:csb0="80000000" w:csb1="00000000"/>
  </w:font>
  <w:font w:name="Segoe UI">
    <w:charset w:val="238"/>
    <w:family w:val="swiss"/>
    <w:pitch w:val="variable"/>
    <w:sig w:usb0="E4002EFF" w:usb1="C000E47F" w:usb2="00000009" w:usb3="00000000" w:csb0="000001FF" w:csb1="00000000"/>
  </w:font>
  <w:font w:name="Cambria">
    <w:charset w:val="238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6F1D30"/>
    <w:lvl w:ilvl="0">
      <w:start w:val="0"/>
      <w:numFmt w:val="bullet"/>
      <w:suff w:val="tab"/>
      <w:lvlText w:val="-"/>
      <w:pPr>
        <w:spacing/>
        <w:ind w:left="720" w:hanging="360"/>
      </w:pPr>
      <w:rPr>
        <w:rFonts w:ascii="Times New Roman" w:hAnsi="Times New Roman" w:eastAsiaTheme="minorHAnsi" w:cs="Times New Roman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proofState w:spelling="clean" w:grammar="clean"/>
  <w:defaultTabStop w:val="708"/>
  <w:hyphenationZone w:val="425"/>
  <w:characterSpacingControl xmlns:w="http://schemas.openxmlformats.org/wordprocessingml/2006/main"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hr-HR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xmlns:w="http://schemas.openxmlformats.org/wordprocessingml/2006/main"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spacing w:after="0"/>
    </w:pPr>
    <w:rPr/>
  </w:style>
  <w:style w:type="character" w:styleId="Zadanifontodlomka" w:default="1">
    <w:name w:val="Default Paragraph Font"/>
    <w:uiPriority w:val="1"/>
    <w:semiHidden/>
    <w:unhideWhenUsed/>
    <w:rPr/>
  </w:style>
  <w:style w:type="table" w:styleId="Obinatablic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>
    <w:name w:val="No List"/>
    <w:uiPriority w:val="99"/>
    <w:semiHidden/>
    <w:unhideWhenUsed/>
  </w:style>
  <w:style w:type="paragraph" w:styleId="Bezproreda" w:customStyle="1">
    <w:name w:val="No Spacing"/>
    <w:uiPriority w:val="1"/>
    <w:qFormat/>
    <w:pPr>
      <w:spacing w:after="0" w:line="240" w:lineRule="auto"/>
    </w:pPr>
    <w:rPr>
      <w:sz w:val="24"/>
      <w:szCs w:val="24"/>
    </w:rPr>
  </w:style>
  <w:style w:type="paragraph" w:styleId="Tekstbalonia">
    <w:name w:val="Balloon Text"/>
    <w:basedOn w:val="Normal"/>
    <w:link w:val="TekstbalončićaChar"/>
    <w:uiPriority w:val="99"/>
    <w:semiHidden/>
    <w:unhideWhenUsed/>
    <w:pPr>
      <w:spacing w:line="240" w:lineRule="auto"/>
    </w:pPr>
    <w:rPr>
      <w:rFonts w:ascii="Segoe UI" w:hAnsi="Segoe UI" w:cs="Segoe UI"/>
      <w:sz w:val="18"/>
      <w:szCs w:val="18"/>
    </w:rPr>
  </w:style>
  <w:style w:type="character" w:styleId="TekstbaloniaChar" w:customStyle="1">
    <w:name w:val="Tekst balončića Char"/>
    <w:basedOn w:val="Zadanifontodlomka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box459481" w:customStyle="1">
    <w:name w:val="box_459481"/>
    <w:basedOn w:val="Normal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fontTable" Target="fontTable.xml" /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h="25400" w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6</TotalTime>
  <Pages>1</Pages>
  <Words>466</Words>
  <Characters>2657</Characters>
  <Application>Microsoft Office Word</Application>
  <DocSecurity>0</DocSecurity>
  <Lines>22</Lines>
  <Paragraphs>6</Paragraphs>
  <Company/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Tajništvo</dc:creator>
  <cp:lastModifiedBy>Marijana Hraste</cp:lastModifiedBy>
  <cp:lastPrinted>2025-02-03T07:35:00Z</cp:lastPrinted>
  <cp:revision>10</cp:revision>
  <dcterms:created xsi:type="dcterms:W3CDTF">2024-10-21T06:39:00Z</dcterms:created>
  <dcterms:modified xsi:type="dcterms:W3CDTF">2025-02-03T07:35:00Z</dcterms:modified>
</cp:coreProperties>
</file>