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59F3F">
      <w:pPr>
        <w:spacing w:after="160" w:line="256" w:lineRule="auto"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b/>
          <w:sz w:val="22"/>
          <w:szCs w:val="22"/>
        </w:rPr>
        <w:t xml:space="preserve">     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>
            <wp:extent cx="457200" cy="542925"/>
            <wp:effectExtent xmlns:wp="http://schemas.openxmlformats.org/drawingml/2006/wordprocessingDrawing" l="0" t="0" r="0" b="9525"/>
            <wp:docPr id="1" descr="GRB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eastAsiaTheme="minorHAnsi" w:cstheme="minorHAnsi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Theme="minorHAnsi" w:hAnsiTheme="minorHAnsi" w:eastAsia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  <w:hideMark/>
          </w:tcPr>
          <w:p>
            <w:pPr>
              <w:spacing w:line="256" w:lineRule="auto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bookmarkStart w:id="2" w:name="_Hlk128748807"/>
            <w:r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  <w:t xml:space="preserve">REPUBLIKA HRVATSKA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>
              <w:rPr>
                <w:rFonts w:asciiTheme="minorHAnsi" w:hAnsiTheme="minorHAnsi" w:eastAsiaTheme="minorHAnsi" w:cstheme="minorHAnsi"/>
                <w:b/>
                <w:sz w:val="22"/>
                <w:szCs w:val="22"/>
              </w:rPr>
              <w:t xml:space="preserve">OSNOVNA ŠKOLA MANUŠ-SPLIT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</w:t>
            </w:r>
          </w:p>
          <w:p>
            <w:pPr>
              <w:spacing w:line="256" w:lineRule="auto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Vukovarska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11, 21000 Split                                                                                                    KLASA: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112-02/25-01/14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inorHAnsi" w:hAnsiTheme="minorHAnsi" w:eastAsiaTheme="minorHAnsi" w:cstheme="minorHAnsi"/>
                <w:noProof/>
                <w:sz w:val="22"/>
                <w:szCs w:val="22"/>
              </w:rPr>
              <w:t xml:space="preserve">2181-1-278-25-1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Split,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2</w:t>
            </w:r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7</w:t>
            </w:r>
            <w:bookmarkStart w:id="3" w:name="_GoBack"/>
            <w:bookmarkEnd w:id="3"/>
            <w:r>
              <w:rPr>
                <w:rFonts w:asciiTheme="minorHAnsi" w:hAnsiTheme="minorHAnsi" w:eastAsiaTheme="minorHAnsi" w:cstheme="minorHAnsi"/>
                <w:sz w:val="22"/>
                <w:szCs w:val="22"/>
              </w:rPr>
              <w:t xml:space="preserve">.10.2025.</w:t>
            </w:r>
          </w:p>
        </w:tc>
        <w:tc>
          <w:tcPr>
            <w:tcW w:type="dxa" w:w="2755"/>
            <w:tcBorders/>
            <w:hideMark/>
          </w:tcPr>
          <w:p>
            <w:pPr>
              <w:spacing w:after="160" w:line="256" w:lineRule="auto"/>
              <w:jc w:val="right"/>
              <w:rPr>
                <w:rFonts w:asciiTheme="minorHAnsi" w:hAnsiTheme="minorHAnsi" w:eastAsiaTheme="minorHAnsi" w:cstheme="minorHAnsi"/>
                <w:sz w:val="22"/>
                <w:szCs w:val="22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3EE253A">
      <w:pPr>
        <w:spacing/>
        <w:rPr>
          <w:rFonts w:asciiTheme="minorHAnsi" w:hAnsiTheme="minorHAnsi" w:eastAsia="Calibri" w:cstheme="minorHAnsi"/>
          <w:color w:val="000000"/>
          <w:sz w:val="22"/>
          <w:szCs w:val="22"/>
          <w:lang w:eastAsia="hr-HR"/>
        </w:rPr>
      </w:pPr>
    </w:p>
    <w:p w14:paraId="178C1DCE">
      <w:pPr>
        <w:pStyle w:val="StandardWeb"/>
        <w:spacing/>
        <w:ind w:left="360"/>
        <w:rPr>
          <w:rStyle w:val="Istaknuto"/>
          <w:rFonts w:asciiTheme="minorHAnsi" w:hAnsiTheme="minorHAnsi" w:eastAsia="Calibri" w:cstheme="minorHAnsi"/>
          <w:i w:val="0"/>
          <w:sz w:val="22"/>
          <w:szCs w:val="22"/>
        </w:rPr>
      </w:pP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Na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temelju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članka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107.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Zakona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odgoju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obrazovanju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u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osnovnoj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srednjoj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školi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( NN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broj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: 87/08, 86/09, 92/10, 105/10, 90/11,16/12.,86/12, 94/13, 152/14, 7/17, 68/18, 98/19 ,64/20, 151/22, 153/23  I 156/23)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odredbi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Pravinika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postupku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zapošljavanja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te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procjeni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I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vrednovanju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kandidata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za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zapošljavanje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Osnovne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škoe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Manuš-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Split,Split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ravnateljica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OŠ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Manuš-Split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,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Vukovarska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11, Marita Guć, prof.,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 </w:t>
      </w:r>
      <w:r>
        <w:rPr>
          <w:rStyle w:val="Istaknuto"/>
          <w:rFonts w:asciiTheme="minorHAnsi" w:hAnsiTheme="minorHAnsi" w:eastAsia="Calibri" w:cstheme="minorHAnsi"/>
          <w:i w:val="0"/>
          <w:color w:val="000000"/>
          <w:sz w:val="22"/>
          <w:szCs w:val="22"/>
        </w:rPr>
        <w:t xml:space="preserve">raspisuje</w:t>
      </w:r>
    </w:p>
    <w:p w14:paraId="756024F9">
      <w:pPr>
        <w:pStyle w:val="Bezproreda"/>
        <w:spacing/>
        <w:jc w:val="center"/>
        <w:rPr>
          <w:rStyle w:val="Naglaeno"/>
          <w:rFonts w:asciiTheme="minorHAnsi" w:hAnsiTheme="minorHAnsi" w:eastAsia="Calibri" w:cstheme="minorHAnsi"/>
          <w:sz w:val="22"/>
          <w:szCs w:val="22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NATJEČAJ</w:t>
      </w:r>
      <w:r>
        <w:rPr>
          <w:rFonts w:asciiTheme="minorHAnsi" w:hAnsiTheme="minorHAnsi" w:eastAsia="Calibri" w:cstheme="minorHAnsi"/>
          <w:sz w:val="22"/>
          <w:szCs w:val="22"/>
        </w:rPr>
        <w:br/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za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popunu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radnog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mjesta</w:t>
      </w:r>
    </w:p>
    <w:p w14:paraId="04776D0E">
      <w:pPr>
        <w:pStyle w:val="Bezproreda"/>
        <w:spacing/>
        <w:jc w:val="center"/>
        <w:rPr>
          <w:rFonts w:asciiTheme="minorHAnsi" w:hAnsiTheme="minorHAnsi" w:eastAsia="Calibri" w:cstheme="minorHAnsi"/>
          <w:sz w:val="22"/>
          <w:szCs w:val="22"/>
        </w:rPr>
      </w:pPr>
    </w:p>
    <w:p w14:paraId="749F6AA7">
      <w:pPr>
        <w:pStyle w:val="Bezproreda"/>
        <w:numPr>
          <w:ilvl w:val="0"/>
          <w:numId w:val="3"/>
        </w:numPr>
        <w:spacing/>
        <w:ind w:left="720"/>
        <w:jc w:val="both"/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OPERATIVNI DJELATNIK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ZA SIGURNOST I CIVILNU ZAŠTITU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(M/Ž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)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,  -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1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izvršitelj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/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ica</w:t>
      </w:r>
      <w:r>
        <w:rPr>
          <w:rStyle w:val="Naglaeno"/>
          <w:rFonts w:asciiTheme="minorHAnsi" w:hAnsiTheme="minorHAnsi" w:eastAsia="Calibri" w:cstheme="minorHAnsi"/>
          <w:b w:val="0"/>
          <w:color w:val="000000"/>
          <w:sz w:val="22"/>
          <w:szCs w:val="22"/>
        </w:rPr>
        <w:t xml:space="preserve"> </w:t>
      </w:r>
    </w:p>
    <w:p w14:paraId="22CB8E31">
      <w:pPr>
        <w:pStyle w:val="Bezproreda"/>
        <w:spacing/>
        <w:ind w:left="720"/>
        <w:jc w:val="both"/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</w:pP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 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na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ne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određeno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puno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radno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color w:val="000000"/>
          <w:sz w:val="22"/>
          <w:szCs w:val="22"/>
        </w:rPr>
        <w:t xml:space="preserve">vrijeme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  (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40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sati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tjedno</w:t>
      </w:r>
      <w:r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  <w:t xml:space="preserve">)</w:t>
      </w:r>
    </w:p>
    <w:p w14:paraId="761ABBA6">
      <w:pPr>
        <w:pStyle w:val="Bezproreda"/>
        <w:spacing/>
        <w:jc w:val="both"/>
        <w:rPr>
          <w:rStyle w:val="Naglaeno"/>
          <w:rFonts w:asciiTheme="minorHAnsi" w:hAnsiTheme="minorHAnsi" w:eastAsia="Calibri" w:cstheme="minorHAnsi"/>
          <w:b w:val="0"/>
          <w:bCs w:val="0"/>
          <w:color w:val="000000"/>
          <w:sz w:val="22"/>
          <w:szCs w:val="22"/>
        </w:rPr>
      </w:pPr>
    </w:p>
    <w:p w14:paraId="7597AC26">
      <w:pPr>
        <w:pStyle w:val="Bezproreda"/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Mjesto rada: Osnovna škola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Manuš-Split, Split</w:t>
      </w:r>
    </w:p>
    <w:p w14:paraId="423731C5">
      <w:pPr>
        <w:pStyle w:val="Bezproreda"/>
        <w:spacing/>
        <w:jc w:val="both"/>
        <w:rPr>
          <w:rFonts w:asciiTheme="minorHAnsi" w:hAnsiTheme="minorHAnsi" w:cstheme="minorHAnsi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natječaj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mogu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javiti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muške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ženske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osobe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skladu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Zakonom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o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ravnopravnosti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spolova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Narodne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novine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broj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: 82/08. i 69/17.)</w:t>
      </w:r>
    </w:p>
    <w:p w14:paraId="5A7D3B3D">
      <w:pPr>
        <w:pStyle w:val="Bezproreda"/>
        <w:spacing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>
        <w:rPr>
          <w:rFonts w:asciiTheme="minorHAnsi" w:hAnsiTheme="minorHAnsi" w:cstheme="minorHAnsi"/>
          <w:sz w:val="22"/>
          <w:szCs w:val="22"/>
          <w:lang w:eastAsia="hr-HR"/>
        </w:rPr>
        <w:t xml:space="preserve">Izrazi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koji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ovom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natječaju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navode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u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muškom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rodu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su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neutralni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odnose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se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jednako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na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muške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i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ženske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osobe</w:t>
      </w:r>
      <w:r>
        <w:rPr>
          <w:rFonts w:asciiTheme="minorHAnsi" w:hAnsiTheme="minorHAnsi" w:cstheme="minorHAnsi"/>
          <w:sz w:val="22"/>
          <w:szCs w:val="22"/>
          <w:lang w:eastAsia="hr-HR"/>
        </w:rPr>
        <w:t xml:space="preserve">. </w:t>
      </w:r>
    </w:p>
    <w:p w14:paraId="559B7F69">
      <w:pPr>
        <w:pStyle w:val="Bezproreda"/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11993249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b/>
          <w:sz w:val="22"/>
          <w:szCs w:val="22"/>
          <w:lang w:val="hr-HR" w:eastAsia="hr-HR"/>
        </w:rPr>
        <w:t xml:space="preserve">Uvjeti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 zasnivanje radnog odnosa:</w:t>
      </w:r>
    </w:p>
    <w:p w14:paraId="2C0AC664">
      <w:pPr>
        <w:spacing/>
        <w:jc w:val="both"/>
        <w:rPr>
          <w:rFonts w:asciiTheme="minorHAnsi" w:hAnsiTheme="minorHAnsi" w:eastAsia="Calibri" w:cstheme="minorHAnsi"/>
          <w:b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Osim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ispunjavanja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općih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uvjeta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za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zasnivanje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radnog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odnosa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općim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propisima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radu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kandidati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trebaju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zadovoljiti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uvjete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sukladno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6.a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djelokrugu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rada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tajnika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te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administrativno-tehničkim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i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pomoćnim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poslovima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koji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se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obavljaju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u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osnovnoškolskoj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ustanovi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(NN 71/2025),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10.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stavka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6.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radu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OŠ Manuš-Split,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te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članku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7.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stavku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3.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toč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. 6.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dopuni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pravilnika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sistematizaciji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radnih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mjesta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 OŠ Manuš-Split</w:t>
      </w:r>
      <w:r>
        <w:rPr>
          <w:rFonts w:asciiTheme="minorHAnsi" w:hAnsiTheme="minorHAnsi" w:cstheme="minorHAnsi"/>
          <w:b/>
          <w:color w:val="7F888F"/>
          <w:sz w:val="22"/>
          <w:szCs w:val="22"/>
          <w:shd w:val="clear" w:color="auto" w:fill="FFFFFF"/>
        </w:rPr>
        <w:t xml:space="preserve">:</w:t>
      </w:r>
    </w:p>
    <w:p w14:paraId="310D6034">
      <w:pPr>
        <w:numPr>
          <w:ilvl w:val="0"/>
          <w:numId w:val="4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završena četverogodišnja srednja škola (razina 4.2 prema HKO)</w:t>
      </w:r>
    </w:p>
    <w:p w14:paraId="3FC19E00">
      <w:pPr>
        <w:numPr>
          <w:ilvl w:val="0"/>
          <w:numId w:val="4"/>
        </w:num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završen Program obrazovanja za stjecanje djelomične kvalifikacije operativni djelatnik/djelatnica za sigurnost i civilnu zaštitu u odgojno-obrazovnim ustanovama (dalje: Program obrazovanja).</w:t>
      </w:r>
    </w:p>
    <w:p w14:paraId="69307119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Iznimno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 Poslove operativnog djelatnika za sigurnost i civilnu zaštitu može obavljati i osoba koja nema završen Program obrazovanja, ali ga je dužna završiti u roku 6 mjeseci od dana zasnivanja radnog odnosa na tom radnom mjestu, a ukoliko ne završi Program obrazovanja u propisanom roku, prestaje ugovor o radu istekom posljednjeg dana roka za stjecanje Programa obrazovanja.</w:t>
      </w:r>
    </w:p>
    <w:p w14:paraId="52098362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posebnoj psihičkoj i fizičkoj zdravstvenoj sposobnosti kandidati će stjecati u okviru Programa obrazovanja.</w:t>
      </w:r>
    </w:p>
    <w:p w14:paraId="11A7BD12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Radni odnos ne može zasnovati osoba za koju postoje zapreke iz čl. 106 Zakona</w:t>
      </w:r>
    </w:p>
    <w:p w14:paraId="69EBA5FF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53E93D0E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026FAD7E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115F7359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 prijavi na natječaj potrebno je navesti i osobne podatke: </w:t>
      </w:r>
    </w:p>
    <w:p w14:paraId="15D8D622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ime i prezime, </w:t>
      </w:r>
    </w:p>
    <w:p w14:paraId="7DA428EF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adresu stanovanja, broj telefona/mobitela, </w:t>
      </w:r>
    </w:p>
    <w:p w14:paraId="1DC3427A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e-mail adresu </w:t>
      </w:r>
    </w:p>
    <w:p w14:paraId="66D9FA4A">
      <w:pPr>
        <w:numPr>
          <w:ilvl w:val="0"/>
          <w:numId w:val="5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naziv radnog mjesta na koje se kandidat prijavljuje.</w:t>
      </w:r>
    </w:p>
    <w:p w14:paraId="5363DD05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Prijavu je potrebno vlastoručno potpisati.</w:t>
      </w:r>
    </w:p>
    <w:p w14:paraId="3922F77C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p w14:paraId="0D7D34C1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Uz  pisanu i vlastoručno potpisanu prijavu kandidati su obvezni priložiti:</w:t>
      </w:r>
    </w:p>
    <w:p w14:paraId="175D8863">
      <w:pPr>
        <w:numPr>
          <w:ilvl w:val="0"/>
          <w:numId w:val="6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životopis</w:t>
      </w:r>
    </w:p>
    <w:p w14:paraId="7A46013F">
      <w:pPr>
        <w:numPr>
          <w:ilvl w:val="0"/>
          <w:numId w:val="6"/>
        </w:num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dokaz o državljanstvu </w:t>
      </w:r>
    </w:p>
    <w:p w14:paraId="4B9899B6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eastAsia="Calibri" w:cstheme="minorHAnsi"/>
          <w:lang w:eastAsia="hr-HR"/>
        </w:rPr>
        <w:t xml:space="preserve">dokaz o odgovarajuć</w:t>
      </w:r>
      <w:r>
        <w:rPr>
          <w:rFonts w:eastAsia="Calibri" w:cstheme="minorHAnsi"/>
          <w:lang w:eastAsia="hr-HR"/>
        </w:rPr>
        <w:t xml:space="preserve">em</w:t>
      </w:r>
      <w:r>
        <w:rPr>
          <w:rFonts w:eastAsia="Calibri" w:cstheme="minorHAnsi"/>
          <w:lang w:eastAsia="hr-HR"/>
        </w:rPr>
        <w:t xml:space="preserve"> </w:t>
      </w:r>
      <w:r>
        <w:rPr>
          <w:rFonts w:eastAsia="Calibri" w:cstheme="minorHAnsi"/>
          <w:lang w:eastAsia="hr-HR"/>
        </w:rPr>
        <w:t xml:space="preserve">stupnju</w:t>
      </w:r>
      <w:r>
        <w:rPr>
          <w:rFonts w:eastAsia="Calibri" w:cstheme="minorHAnsi"/>
          <w:lang w:eastAsia="hr-HR"/>
        </w:rPr>
        <w:t xml:space="preserve"> obrazovanja (preslika svjedodžbe/diplome o stečenoj stručnoj spremi)</w:t>
      </w:r>
    </w:p>
    <w:p w14:paraId="30440B52">
      <w:pPr>
        <w:pStyle w:val="Odlomakpopisa"/>
        <w:numPr>
          <w:ilvl w:val="0"/>
          <w:numId w:val="1"/>
        </w:numPr>
        <w:spacing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3D7323AD">
      <w:pPr>
        <w:pStyle w:val="Bezproreda1"/>
        <w:numPr>
          <w:ilvl w:val="0"/>
          <w:numId w:val="1"/>
        </w:numPr>
        <w:spacing/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14:paraId="1CBBE15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theme="minorHAnsi"/>
          <w:lang w:eastAsia="hr-HR"/>
        </w:rPr>
      </w:pPr>
      <w:r>
        <w:rPr>
          <w:rFonts w:cstheme="minorHAnsi"/>
        </w:rPr>
        <w:t xml:space="preserve">program obrazovanja za stjecanje djelomičnih kvalifikacija operativnog djelatnika za sigurnost i civilnu zaštitu u odgojno obrazovnim ustanovama</w:t>
      </w:r>
      <w:r>
        <w:rPr>
          <w:rFonts w:cstheme="minorHAnsi"/>
        </w:rPr>
        <w:t xml:space="preserve">, </w:t>
      </w:r>
      <w:r>
        <w:rPr>
          <w:rFonts w:cstheme="minorHAnsi"/>
        </w:rPr>
        <w:t xml:space="preserve">ukoliko</w:t>
      </w:r>
      <w:r>
        <w:rPr>
          <w:rFonts w:cstheme="minorHAnsi"/>
        </w:rPr>
        <w:t xml:space="preserve"> je završen</w:t>
      </w:r>
      <w:r>
        <w:rPr>
          <w:rFonts w:cstheme="minorHAnsi"/>
        </w:rPr>
        <w:t xml:space="preserve"> program</w:t>
      </w:r>
    </w:p>
    <w:p w14:paraId="3BFA3DDA"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Navedene isprave odnosno prilozi dostavljaju se u neovjerenoj preslici. </w:t>
      </w:r>
    </w:p>
    <w:p w14:paraId="0A23953D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Prije sklapanja ugovora o radu odabrani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1220EBC0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Kandidati koji ostvaruje pravo prednosti pri zapošljavanju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na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temelju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članka 102.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stavaka 1.-3.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33/92., 57/92., 77/92., 27/93., 58/93., 02/94., 76/94., 108/95., 108/96., 82/01.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103/03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148/13 i 98/19.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dužni su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u prijavi na javni natječaj pozvati se na to pravo i uz prijavu </w:t>
      </w:r>
      <w:r>
        <w:rPr>
          <w:rFonts w:asciiTheme="minorHAnsi" w:hAnsiTheme="minorHAnsi" w:eastAsia="Calibri" w:cstheme="minorHAnsi"/>
          <w:sz w:val="22"/>
          <w:szCs w:val="22"/>
          <w:lang w:val="hr-HR" w:eastAsia="hr-HR"/>
        </w:rPr>
        <w:t xml:space="preserve">na natječaj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pored navedenih isprava odnosno priloga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priložiti svu propisanu dokumentaciju prema posebnom zakonu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te ima prednost u odnosu na ostale kandidate samo pod jednakim uvjetima.</w:t>
      </w:r>
    </w:p>
    <w:p w14:paraId="1400ED22">
      <w:pPr>
        <w:spacing w:before="100" w:beforeAutospacing="1" w:after="161"/>
        <w:ind w:left="720"/>
        <w:rPr>
          <w:rFonts w:asciiTheme="minorHAnsi" w:hAnsiTheme="minorHAnsi" w:cstheme="minorHAnsi"/>
          <w:color w:val="000000"/>
          <w:sz w:val="22"/>
          <w:szCs w:val="22"/>
          <w:lang w:val="hr-HR" w:eastAsia="hr-HR"/>
        </w:rPr>
      </w:pP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Kandidat koji se poziva na pravo prednosti pri zapošljavanju na </w:t>
      </w:r>
      <w:r>
        <w:rPr>
          <w:rFonts w:asciiTheme="minorHAnsi" w:hAnsiTheme="minorHAnsi" w:cstheme="minorHAnsi"/>
          <w:sz w:val="22"/>
          <w:szCs w:val="22"/>
          <w:lang w:val="pl-PL" w:eastAsia="hr-HR"/>
        </w:rPr>
        <w:t xml:space="preserve">temelju 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članka 102.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sz w:val="22"/>
          <w:szCs w:val="22"/>
          <w:lang w:val="hr-HR" w:eastAsia="en-GB"/>
        </w:rPr>
        <w:t xml:space="preserve">Zakona o hrvatskim braniteljima iz Domovinskog rata i članovima njihovih obitelji</w:t>
      </w:r>
      <w:r>
        <w:rPr>
          <w:rFonts w:asciiTheme="minorHAnsi" w:hAnsiTheme="minorHAnsi" w:cstheme="minorHAnsi"/>
          <w:sz w:val="22"/>
          <w:szCs w:val="22"/>
          <w:lang w:val="hr-HR" w:eastAsia="hr-HR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0295F6AA">
      <w:pPr>
        <w:spacing w:after="160" w:line="254" w:lineRule="auto"/>
        <w:ind w:left="720"/>
        <w:contextualSpacing/>
        <w:jc w:val="both"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4E248BE8">
      <w:pPr>
        <w:spacing w:before="100" w:beforeAutospacing="1" w:after="161"/>
        <w:ind w:left="720"/>
        <w:rPr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</w:pPr>
      <w:r>
        <w:rPr/>
        <w:fldChar w:fldCharType="begin"/>
      </w:r>
      <w:r>
        <w:rPr/>
        <w:instrText xml:space="preserve">HYPERLINK "https://branitelji.gov.hr/UserDocsImages//dokumenti/Nikola//popis%20dokaza%20za%20ostvarivanje%20prava%20prednosti%20pri%20zapo%C5%A1ljavanju-%20Zakon%20o%20civilnim%20stradalnicima%20iz%20DR.pdf"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Fonts w:asciiTheme="minorHAnsi" w:hAnsiTheme="minorHAnsi" w:eastAsia="Calibri" w:cstheme="minorHAnsi"/>
          <w:color w:val="4DB2EC"/>
          <w:sz w:val="22"/>
          <w:szCs w:val="22"/>
          <w:lang w:val="hr-HR" w:eastAsia="hr-HR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6B182D4E">
      <w:pPr>
        <w:spacing w:after="160" w:line="254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Sve kandidate koji su pravodobno dostavili potpunu prijavu sa svim prilozima, odnosno ispravama i koji ispunjavaju uvjete natječaja Povjerenstvo će pozvati na procjenu, odnosno 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198EFB01">
      <w:pPr>
        <w:spacing/>
        <w:ind w:left="720"/>
        <w:contextualSpacing/>
        <w:jc w:val="both"/>
        <w:rPr>
          <w:rFonts w:asciiTheme="minorHAnsi" w:hAnsiTheme="minorHAnsi" w:eastAsiaTheme="minorHAnsi" w:cstheme="minorHAnsi"/>
          <w:color w:val="FF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Na javno dostupnoj mrežnoj stranici Škole, poveznica: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će se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</w:t>
      </w:r>
      <w:r>
        <w:rPr>
          <w:rFonts w:asciiTheme="minorHAnsi" w:hAnsiTheme="minorHAnsi" w:eastAsia="Calibri" w:cstheme="minorHAnsi"/>
          <w:color w:val="FF0000"/>
          <w:sz w:val="22"/>
          <w:szCs w:val="22"/>
          <w:lang w:val="hr-HR"/>
        </w:rPr>
        <w:t xml:space="preserve">. </w:t>
      </w:r>
    </w:p>
    <w:p w14:paraId="1D401DF9">
      <w:pPr>
        <w:spacing w:after="160" w:line="254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pravodobno dostavio potpunu vlastoručno potpisanu prijavu sa svim prilozima odnosno ispravama i ispunjava uvjete natječaja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obvezan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 je pristupiti procjeni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odnosno testiranju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3FCA8D4F">
      <w:pPr>
        <w:spacing w:after="160" w:line="254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Fonts w:asciiTheme="minorHAnsi" w:hAnsiTheme="minorHAnsi" w:eastAsiaTheme="minorHAnsi" w:cstheme="minorHAnsi"/>
          <w:color w:val="4DB2EC"/>
          <w:sz w:val="22"/>
          <w:szCs w:val="22"/>
          <w:lang w:val="hr-HR"/>
        </w:rPr>
        <w:t xml:space="preserve">http://os-manus-st.skole.hr/zakoni</w:t>
      </w:r>
      <w:r>
        <w:rPr/>
        <w:fldChar w:fldCharType="end"/>
      </w:r>
    </w:p>
    <w:p w14:paraId="589BDDD9">
      <w:pPr>
        <w:spacing w:after="160" w:line="254" w:lineRule="auto"/>
        <w:ind w:left="720"/>
        <w:contextualSpacing/>
        <w:rPr>
          <w:rFonts w:asciiTheme="minorHAnsi" w:hAnsiTheme="minorHAnsi" w:eastAsiaTheme="minorHAnsi" w:cstheme="minorHAnsi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koji ne pristupi procjeni odnosno testiranju smatra se da je odustao od prijave na natječaj. </w:t>
      </w:r>
    </w:p>
    <w:p w14:paraId="6E9AB8FA">
      <w:pPr>
        <w:spacing w:after="160" w:line="254" w:lineRule="auto"/>
        <w:ind w:left="720"/>
        <w:contextualSpacing/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Kandidat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prijavom na natječaj 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daje </w:t>
      </w:r>
      <w:r>
        <w:rPr>
          <w:rFonts w:asciiTheme="minorHAnsi" w:hAnsiTheme="minorHAnsi" w:eastAsiaTheme="minorHAnsi" w:cstheme="minorHAnsi"/>
          <w:color w:val="000000"/>
          <w:sz w:val="22"/>
          <w:szCs w:val="22"/>
          <w:lang w:val="hr-HR"/>
        </w:rPr>
        <w:t xml:space="preserve">privolu za obradu osobnih podataka navedenih u svim dostavljenim prilozima odnosno ispravama za potrebe provedbe javnog natječaja</w:t>
      </w:r>
      <w:r>
        <w:rPr>
          <w:rFonts w:asciiTheme="minorHAnsi" w:hAnsiTheme="minorHAnsi" w:eastAsiaTheme="minorHAnsi" w:cstheme="minorHAnsi"/>
          <w:sz w:val="22"/>
          <w:szCs w:val="22"/>
          <w:lang w:val="hr-HR"/>
        </w:rPr>
        <w:t xml:space="preserve"> sukladno važećim propisima o zaštiti osobnih podataka.</w:t>
      </w:r>
    </w:p>
    <w:p w14:paraId="40B74548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51E9BBBD">
      <w:pPr>
        <w:spacing w:line="480" w:lineRule="auto"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Vlastoručno potpisane prijave na natječaj dostavljaju se neposredno ili poštom na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adresu: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Osnovna škola Manuš-Split, Split,Vukovarska 11, 21000 Split 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s naznakom ˝za ,natječaj-za radno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mjesto  </w:t>
      </w:r>
      <w:r>
        <w:rPr>
          <w:rFonts w:asciiTheme="minorHAnsi" w:hAnsiTheme="minorHAnsi" w:eastAsia="Calibri" w:cstheme="minorHAnsi"/>
          <w:sz w:val="22"/>
          <w:szCs w:val="22"/>
          <w:lang w:val="pl-PL"/>
        </w:rPr>
        <w:t xml:space="preserve">„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OPERATIVNI DJELATNIK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ZA SIGURNOAT I CIVILNU ZAŠTITU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-NEOREĐENO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PUNO 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RADNO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V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RIJEME</w:t>
      </w:r>
      <w:r>
        <w:rPr>
          <w:rFonts w:asciiTheme="minorHAnsi" w:hAnsiTheme="minorHAnsi" w:eastAsia="Calibri" w:cstheme="minorHAnsi"/>
          <w:b/>
          <w:sz w:val="22"/>
          <w:szCs w:val="22"/>
          <w:lang w:val="hr-HR"/>
        </w:rPr>
        <w:t xml:space="preserve"> “.</w:t>
      </w:r>
    </w:p>
    <w:p w14:paraId="0ED420AC">
      <w:pPr>
        <w:spacing/>
        <w:ind w:left="720"/>
        <w:jc w:val="both"/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Nepravodobne, nepotpune i vlastoručno nepotpisane prijave neće se razmatrati.</w:t>
      </w:r>
    </w:p>
    <w:p w14:paraId="7AF6263F">
      <w:pPr>
        <w:spacing/>
        <w:ind w:left="72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"https://os-manus-st.skole.hr/oglasi-za-posao/" </w:instrText>
      </w:r>
      <w:r>
        <w:rPr/>
        <w:fldChar w:fldCharType="separate"/>
      </w:r>
      <w:r>
        <w:rPr>
          <w:rFonts w:asciiTheme="minorHAnsi" w:hAnsiTheme="minorHAnsi" w:eastAsia="Calibri" w:cstheme="minorHAnsi"/>
          <w:color w:val="4DB2EC"/>
          <w:sz w:val="22"/>
          <w:szCs w:val="22"/>
          <w:lang w:val="hr-HR"/>
        </w:rPr>
        <w:t xml:space="preserve">https://os-manus-st.skole.hr/oglasi-za-posao/</w:t>
      </w:r>
      <w:r>
        <w:rPr/>
        <w:fldChar w:fldCharType="end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, najkasnije u roku od petnaest dana od dana sklapanja ugovora o radu s </w:t>
      </w:r>
      <w:r>
        <w:rPr>
          <w:rFonts w:asciiTheme="minorHAnsi" w:hAnsiTheme="minorHAnsi" w:eastAsia="Calibri" w:cstheme="minorHAnsi"/>
          <w:color w:val="000000"/>
          <w:sz w:val="22"/>
          <w:szCs w:val="22"/>
          <w:lang w:val="hr-HR"/>
        </w:rPr>
        <w:t xml:space="preserve">odabranim</w:t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0BEF0E67">
      <w:pPr>
        <w:spacing/>
        <w:ind w:left="3540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Ravnateljica:</w:t>
      </w:r>
    </w:p>
    <w:p w14:paraId="6D0846D4">
      <w:pPr>
        <w:spacing/>
        <w:ind w:left="4968" w:firstLine="696"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 xml:space="preserve">    Marita Guć, prof.</w:t>
      </w:r>
    </w:p>
    <w:p w14:paraId="719222CE">
      <w:pPr>
        <w:spacing/>
        <w:jc w:val="both"/>
        <w:rPr>
          <w:rFonts w:asciiTheme="minorHAnsi" w:hAnsiTheme="minorHAnsi" w:eastAsia="Calibri" w:cstheme="minorHAnsi"/>
          <w:sz w:val="22"/>
          <w:szCs w:val="22"/>
          <w:lang w:val="hr-HR"/>
        </w:rPr>
      </w:pP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  <w:r>
        <w:rPr>
          <w:rFonts w:asciiTheme="minorHAnsi" w:hAnsiTheme="minorHAnsi" w:eastAsia="Calibri" w:cstheme="minorHAnsi"/>
          <w:sz w:val="22"/>
          <w:szCs w:val="22"/>
          <w:lang w:val="hr-HR"/>
        </w:rPr>
        <w:tab/>
        <w:t xml:space="preserve"/>
      </w:r>
    </w:p>
    <w:p w14:paraId="53CB5EA2">
      <w:pPr>
        <w:spacing/>
        <w:rPr>
          <w:rFonts w:asciiTheme="minorHAnsi" w:hAnsiTheme="minorHAnsi" w:eastAsia="Calibri" w:cstheme="minorHAnsi"/>
          <w:sz w:val="22"/>
          <w:szCs w:val="22"/>
          <w:lang w:val="hr-HR" w:eastAsia="hr-HR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892628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6866C89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2">
    <w:nsid w:val="66866C8A"/>
    <w:lvl w:ilvl="0">
      <w:start w:val="1"/>
      <w:numFmt w:val="bullet"/>
      <w:suff w:val="tab"/>
      <w:lvlText w:val=""/>
      <w:pPr>
        <w:spacing/>
        <w:ind w:left="108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eastAsia="Wingdings" w:hint="default"/>
      </w:rPr>
    </w:lvl>
  </w:abstractNum>
  <w:abstractNum w:abstractNumId="3">
    <w:nsid w:val="66866C8B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4">
    <w:nsid w:val="66866C8C"/>
    <w:lvl w:ilvl="0">
      <w:start w:val="1"/>
      <w:numFmt w:val="bullet"/>
      <w:suff w:val="tab"/>
      <w:lvlText w:val="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abstractNum w:abstractNumId="5">
    <w:nsid w:val="66866C8D"/>
    <w:lvl w:ilvl="0">
      <w:start w:val="1"/>
      <w:numFmt w:val="bullet"/>
      <w:suff w:val="tab"/>
      <w:lvlText w:val=""/>
      <w:pPr>
        <w:spacing/>
        <w:ind w:left="720" w:hanging="360"/>
      </w:pPr>
      <w:rPr>
        <w:rFonts w:ascii="Wingdings" w:hAnsi="Wingdings" w:eastAsia="Wingdings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Pr>
      <w:color w:val="0563C1"/>
      <w:u w:val="single"/>
    </w:rPr>
  </w:style>
  <w:style w:type="paragraph" w:styleId="StandardWeb">
    <w:name w:val="Normal (Web)"/>
    <w:basedOn w:val="Normal"/>
    <w:semiHidden/>
    <w:unhideWhenUsed/>
    <w:pPr>
      <w:spacing w:before="100" w:beforeAutospacing="1" w:after="100" w:afterAutospacing="1"/>
    </w:pPr>
    <w:rPr/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Istaknuto">
    <w:name w:val="Emphasis"/>
    <w:basedOn w:val="Zadanifontodlomka"/>
    <w:qFormat/>
    <w:rPr>
      <w:i/>
      <w:iCs/>
    </w:rPr>
  </w:style>
  <w:style w:type="character" w:styleId="Naglaeno">
    <w:name w:val="Strong"/>
    <w:basedOn w:val="Zadanifontodlomka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proreda1" w:customStyle="1">
    <w:name w:val="Bez proreda1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hr-HR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88</TotalTime>
  <Pages>1</Pages>
  <Words>1522</Words>
  <Characters>8676</Characters>
  <Application>Microsoft Office Word</Application>
  <DocSecurity>0</DocSecurity>
  <Lines>72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2025-10-23T06:19:00Z</cp:lastPrinted>
  <cp:revision>45</cp:revision>
  <dcterms:created xsi:type="dcterms:W3CDTF">2025-10-16T06:52:00Z</dcterms:created>
  <dcterms:modified xsi:type="dcterms:W3CDTF">2025-10-27T10:46:00Z</dcterms:modified>
</cp:coreProperties>
</file>