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9" w:lineRule="auto"/>
        <w:rPr>
          <w:rFonts w:eastAsiaTheme="minorHAnsi"/>
          <w:sz w:val="22"/>
        </w:rPr>
      </w:pPr>
      <w:r>
        <w:rPr>
          <w:rFonts w:eastAsiaTheme="minorHAnsi"/>
          <w:b/>
          <w:sz w:val="22"/>
        </w:rPr>
        <w:t xml:space="preserve">                  </w:t>
      </w:r>
      <w:r>
        <w:rPr>
          <w:b/>
          <w:noProof/>
        </w:rPr>
        <w:drawing>
          <wp:inline>
            <wp:extent cx="457200" cy="537986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</w:rPr>
        <w:t xml:space="preserve">                                                               </w:t>
      </w:r>
      <w:r>
        <w:rPr>
          <w:rFonts w:eastAsiaTheme="minorHAnsi"/>
          <w:b/>
          <w:sz w:val="22"/>
        </w:rPr>
        <w:t xml:space="preserve">                               </w:t>
      </w:r>
      <w:r>
        <w:rPr>
          <w:rFonts w:eastAsiaTheme="minorHAnsi"/>
          <w:sz w:val="22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sz w:val="22"/>
        </w:rPr>
        <w:t xml:space="preserve">                  </w:t>
      </w:r>
      <w:r>
        <w:rPr>
          <w:rFonts w:eastAsiaTheme="minorHAnsi"/>
          <w:sz w:val="22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6"/>
        <w:gridCol w:w="2716"/>
      </w:tblGrid>
      <w:tr>
        <w:trPr>
          <w:trHeight w:val="1649" w:hRule="atLeast"/>
        </w:trPr>
        <w:tc>
          <w:tcPr>
            <w:tcW w:type="dxa" w:w="6526"/>
            <w:tcBorders/>
          </w:tcPr>
          <w:p>
            <w:pPr>
              <w:spacing w:line="259" w:lineRule="auto"/>
              <w:rPr>
                <w:rFonts w:eastAsiaTheme="minorHAnsi"/>
                <w:sz w:val="22"/>
              </w:rPr>
            </w:pPr>
            <w:bookmarkStart w:id="2" w:name="_Hlk128748807"/>
            <w:r>
              <w:rPr>
                <w:rFonts w:eastAsiaTheme="minorHAnsi"/>
                <w:b/>
                <w:sz w:val="22"/>
              </w:rPr>
              <w:t xml:space="preserve">REPUBLIKA HRVATSKA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</w:t>
            </w:r>
            <w:r>
              <w:rPr>
                <w:rFonts w:eastAsiaTheme="minorHAnsi"/>
                <w:sz w:val="22"/>
              </w:rPr>
              <w:t xml:space="preserve">                          </w:t>
            </w:r>
            <w:r>
              <w:rPr>
                <w:rFonts w:eastAsiaTheme="minorHAnsi"/>
                <w:b/>
                <w:sz w:val="22"/>
              </w:rPr>
              <w:t xml:space="preserve">OSNOVNA ŠKOLA MANUŠ-SPLIT</w:t>
            </w:r>
            <w:r>
              <w:rPr>
                <w:rFonts w:eastAsiaTheme="minorHAnsi"/>
                <w:sz w:val="22"/>
              </w:rPr>
              <w:t xml:space="preserve"> </w:t>
            </w:r>
          </w:p>
          <w:p>
            <w:pPr>
              <w:spacing w:line="259" w:lineRule="auto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Vukovarska</w:t>
            </w:r>
            <w:r>
              <w:rPr>
                <w:rFonts w:eastAsiaTheme="minorHAnsi"/>
                <w:sz w:val="22"/>
              </w:rPr>
              <w:t xml:space="preserve"> 11, 21000 Split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</w:t>
            </w:r>
            <w:r>
              <w:rPr>
                <w:rFonts w:eastAsiaTheme="minorHAnsi"/>
                <w:sz w:val="22"/>
              </w:rPr>
              <w:t xml:space="preserve">KLASA: </w:t>
            </w:r>
            <w:r>
              <w:rPr>
                <w:noProof/>
              </w:rPr>
              <w:t xml:space="preserve">112-02/26-01/9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</w:rPr>
              <w:t xml:space="preserve">                    URBROJ: </w:t>
            </w:r>
            <w:r>
              <w:rPr>
                <w:rFonts w:eastAsiaTheme="minorHAnsi"/>
                <w:noProof/>
                <w:sz w:val="22"/>
              </w:rPr>
              <w:t xml:space="preserve">2181-1-278-26-1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</w:t>
            </w:r>
            <w:r>
              <w:rPr>
                <w:rFonts w:eastAsiaTheme="minorHAnsi"/>
                <w:sz w:val="22"/>
              </w:rPr>
              <w:t xml:space="preserve"> Split,</w:t>
            </w:r>
            <w:r>
              <w:rPr>
                <w:rFonts w:eastAsiaTheme="minorHAnsi"/>
                <w:sz w:val="22"/>
              </w:rPr>
              <w:t xml:space="preserve"> 8.6.2026.</w:t>
            </w:r>
            <w:bookmarkStart w:id="3" w:name="_GoBack"/>
            <w:bookmarkEnd w:id="3"/>
          </w:p>
        </w:tc>
        <w:tc>
          <w:tcPr>
            <w:tcW w:type="dxa" w:w="2755"/>
            <w:tcBorders/>
          </w:tcPr>
          <w:p>
            <w:pPr>
              <w:spacing w:after="160" w:line="259" w:lineRule="auto"/>
              <w:jc w:val="right"/>
              <w:rPr>
                <w:rFonts w:eastAsiaTheme="minorHAnsi"/>
                <w:sz w:val="22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>
          <w:rFonts w:asciiTheme="minorHAnsi" w:hAnsiTheme="minorHAnsi" w:eastAsia="Calibri" w:cstheme="minorHAnsi"/>
          <w:color w:val="000000"/>
          <w:sz w:val="22"/>
          <w:szCs w:val="22"/>
          <w:lang w:eastAsia="hr-HR"/>
        </w:rPr>
      </w:pPr>
    </w:p>
    <w:p>
      <w:pPr>
        <w:pStyle w:val="StandardWeb"/>
        <w:spacing/>
        <w:ind w:left="360"/>
        <w:rPr>
          <w:rStyle w:val="Istaknuto"/>
          <w:rFonts w:eastAsia="Calibri"/>
          <w:i w:val="0"/>
        </w:rPr>
      </w:pP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Na temelju članka 107. Zakona o odgoju i obrazovanju u osnovnoj i srednjoj školi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( NN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, broj: 87/08, 86/09, 92/10, 105/10, 90/11,16/12.,86/12, 94/13, 152/14, 7/17, 68/18, 98/19 ,64/20, 151/22, 153/23  I 156/23)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,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članka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13.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Pravilnika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o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radu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OŠ Manuš-Split,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i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odredbi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Pravilnika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o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postupku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zapošljavanja te procjeni I vrednovanju kandidata za zapošljavanje Osnovne škole Manuš-Split,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Split ,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ravnateljica OŠ Manuš-Split, Vukovarska 11, Marita Guć, prof.,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objavljuje</w:t>
      </w:r>
    </w:p>
    <w:p>
      <w:pPr>
        <w:pStyle w:val="Bezproreda1"/>
        <w:spacing/>
        <w:jc w:val="center"/>
        <w:rPr>
          <w:rStyle w:val="Naglaeno"/>
          <w:rFonts w:eastAsia="Calibri"/>
        </w:rPr>
      </w:pP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NATJEČAJ</w:t>
      </w:r>
      <w:r>
        <w:rPr>
          <w:rFonts w:asciiTheme="minorHAnsi" w:hAnsiTheme="minorHAnsi" w:eastAsia="Calibri" w:cstheme="minorHAnsi"/>
          <w:sz w:val="22"/>
          <w:szCs w:val="22"/>
        </w:rPr>
        <w:br/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za popunu radnog mjesta</w:t>
      </w:r>
    </w:p>
    <w:p>
      <w:pPr>
        <w:pStyle w:val="Bezproreda1"/>
        <w:spacing/>
        <w:jc w:val="center"/>
        <w:rPr>
          <w:rFonts w:eastAsia="Calibri"/>
        </w:rPr>
      </w:pPr>
    </w:p>
    <w:p>
      <w:pPr>
        <w:pStyle w:val="Bezproreda1"/>
        <w:numPr>
          <w:ilvl w:val="0"/>
          <w:numId w:val="2"/>
        </w:numPr>
        <w:spacing/>
        <w:ind w:left="720"/>
        <w:jc w:val="both"/>
        <w:rPr>
          <w:rStyle w:val="Naglaeno"/>
          <w:rFonts w:eastAsia="Calibri"/>
          <w:color w:val="000000"/>
        </w:rPr>
      </w:pP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OPERATIVNI DJELATNIK ZA SIGURNOST I CIVILNU ZAŠTITU (M/Ž),  - </w:t>
      </w:r>
      <w:r>
        <w:rPr>
          <w:rStyle w:val="Naglaeno"/>
          <w:rFonts w:asciiTheme="minorHAnsi" w:hAnsiTheme="minorHAnsi" w:eastAsia="Calibri" w:cstheme="minorHAnsi"/>
          <w:b w:val="0"/>
          <w:color w:val="000000"/>
          <w:sz w:val="22"/>
          <w:szCs w:val="22"/>
        </w:rPr>
        <w:t xml:space="preserve">1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 izvršitelj/ica </w:t>
      </w:r>
    </w:p>
    <w:p>
      <w:pPr>
        <w:pStyle w:val="Bezproreda1"/>
        <w:spacing/>
        <w:ind w:left="720"/>
        <w:jc w:val="both"/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</w:pP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   na nepuno određeno radno vrijeme</w:t>
      </w:r>
      <w:r>
        <w:rPr>
          <w:rStyle w:val="Naglaeno"/>
          <w:rFonts w:asciiTheme="minorHAnsi" w:hAnsiTheme="minorHAnsi" w:eastAsia="Calibri" w:cstheme="minorHAnsi"/>
          <w:b w:val="0"/>
          <w:color w:val="000000"/>
          <w:sz w:val="22"/>
          <w:szCs w:val="22"/>
        </w:rPr>
        <w:t xml:space="preserve"> 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(20/40 sati tjedno).</w:t>
      </w:r>
    </w:p>
    <w:p>
      <w:pPr>
        <w:pStyle w:val="Bezproreda1"/>
        <w:spacing/>
        <w:jc w:val="both"/>
        <w:rPr>
          <w:rStyle w:val="Naglaeno"/>
          <w:rFonts w:asciiTheme="minorHAnsi" w:hAnsiTheme="minorHAnsi" w:eastAsia="Calibri" w:cstheme="minorHAnsi"/>
          <w:b w:val="0"/>
          <w:bCs w:val="0"/>
          <w:color w:val="000000"/>
          <w:sz w:val="22"/>
          <w:szCs w:val="22"/>
        </w:rPr>
      </w:pPr>
    </w:p>
    <w:p>
      <w:pPr>
        <w:pStyle w:val="Bezproreda1"/>
        <w:spacing/>
        <w:jc w:val="both"/>
        <w:rPr>
          <w:rFonts w:eastAsia="Calibri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Mjesto rada: Osnovna škola Manuš-Split, Split</w:t>
      </w:r>
    </w:p>
    <w:p>
      <w:pPr>
        <w:pStyle w:val="Bezproreda1"/>
        <w:spacing/>
        <w:jc w:val="both"/>
        <w:rPr>
          <w:rFonts w:asciiTheme="minorHAnsi" w:hAnsiTheme="minorHAnsi" w:cstheme="minorHAnsi"/>
          <w:sz w:val="22"/>
          <w:szCs w:val="22"/>
          <w:lang w:val="hr-HR"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muške i ženske osobe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u skladu sa Zakonom o ravnopravnosti spolova (Narodne novine, broj: 82/08. i 69/17.)</w:t>
      </w:r>
    </w:p>
    <w:p>
      <w:pPr>
        <w:pStyle w:val="Bezproreda1"/>
        <w:spacing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Izrazi koji se u ovom natječaju navode u muškom rodu su neutralni i odnose se jednako na muške i ženske osobe. </w:t>
      </w:r>
    </w:p>
    <w:p>
      <w:pPr>
        <w:pStyle w:val="Bezproreda1"/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p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b/>
          <w:sz w:val="22"/>
          <w:szCs w:val="22"/>
          <w:lang w:val="hr-HR" w:eastAsia="hr-HR"/>
        </w:rPr>
        <w:t xml:space="preserve">Uvjeti </w:t>
      </w: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za zasnivanje radnog odnosa:</w:t>
      </w:r>
    </w:p>
    <w:p>
      <w:pPr>
        <w:spacing/>
        <w:jc w:val="both"/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Osim ispunjavanja općih uvjeta za zasnivanje radnog odnosa sukladno općim propisima o radu, kandidati trebaju zadovoljiti uvjete sukladno članku 6.a Pravilnika o dopuni Pravilnika o djelokrugu rada tajnika te administrativno-tehničkim i pomoćnim poslovima koji se obavljaju u osnovnoškolskoj ustanovi (NN 71/2025), članku 10. stavka 6. Pravilnika o dopuni pravilnika o radu OŠ Manuš-Split, te članku 7. stavku 3. toč. 6. Pravilnika o dopuni pravilnika o sistematizaciji radnih mjesta OŠ Manuš-Split:</w:t>
      </w:r>
    </w:p>
    <w:p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p>
      <w:pPr>
        <w:numPr>
          <w:ilvl w:val="0"/>
          <w:numId w:val="3"/>
        </w:num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završena četverogodišnja srednja škola (razina 4.2 prema HKO)</w:t>
      </w:r>
    </w:p>
    <w:p>
      <w:pPr>
        <w:numPr>
          <w:ilvl w:val="0"/>
          <w:numId w:val="3"/>
        </w:num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završen Program obrazovanja za stjecanje djelomične kvalifikacije operativni djelatnik/djelatnica za sigurnost i civilnu zaštitu u odgojno-obrazovnim ustanovama (dalje: Program obrazovanja).</w:t>
      </w:r>
    </w:p>
    <w:p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Iznimno Poslove operativnog djelatnika za sigurnost i civilnu zaštitu može obavljati i osoba koja nema završen Program obrazovanja, ali ga je dužna završiti u roku 6 mjeseci od dana zasnivanja radnog odnosa na tom radnom mjestu, a ukoliko ne završi Program obrazovanja u propisanom roku, prestaje ugovor o radu istekom posljednjeg dana roka za stjecanje Programa obrazovanja.</w:t>
      </w:r>
    </w:p>
    <w:p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p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Dokaz o posebnoj psihičkoj i fizičkoj zdravstvenoj sposobnosti kandidati će stjecati u okviru Programa obrazovanja.</w:t>
      </w:r>
    </w:p>
    <w:p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Radni odnos ne može zasnovati osoba za koju postoje zapreke iz čl. 106 Zakona</w:t>
      </w:r>
    </w:p>
    <w:p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p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p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p>
      <w:p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U prijavi na natječaj potrebno je navesti i osobne podatke: </w:t>
      </w:r>
    </w:p>
    <w:p>
      <w:pPr>
        <w:numPr>
          <w:ilvl w:val="0"/>
          <w:numId w:val="4"/>
        </w:num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ime i prezime, </w:t>
      </w:r>
    </w:p>
    <w:p>
      <w:pPr>
        <w:numPr>
          <w:ilvl w:val="0"/>
          <w:numId w:val="4"/>
        </w:num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adresu stanovanja, broj telefona/mobitela, </w:t>
      </w:r>
    </w:p>
    <w:p>
      <w:pPr>
        <w:numPr>
          <w:ilvl w:val="0"/>
          <w:numId w:val="4"/>
        </w:num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e-mail adresu </w:t>
      </w:r>
    </w:p>
    <w:p>
      <w:pPr>
        <w:numPr>
          <w:ilvl w:val="0"/>
          <w:numId w:val="4"/>
        </w:num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naziv radnog mjesta na koje se kandidat prijavljuje.</w:t>
      </w:r>
    </w:p>
    <w:p>
      <w:p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Prijavu je potrebno vlastoručno potpisati.</w:t>
      </w:r>
    </w:p>
    <w:p>
      <w:p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p>
      <w:p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Uz  pisanu i vlastoručno potpisanu prijavu kandidati su obvezni priložiti:</w:t>
      </w:r>
    </w:p>
    <w:p>
      <w:pPr>
        <w:numPr>
          <w:ilvl w:val="0"/>
          <w:numId w:val="5"/>
        </w:num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životopis</w:t>
      </w:r>
    </w:p>
    <w:p>
      <w:pPr>
        <w:numPr>
          <w:ilvl w:val="0"/>
          <w:numId w:val="5"/>
        </w:num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dokaz o državljanstvu </w:t>
      </w:r>
    </w:p>
    <w:p>
      <w:pPr>
        <w:pStyle w:val="Odlomakpopisa"/>
        <w:numPr>
          <w:ilvl w:val="0"/>
          <w:numId w:val="1"/>
        </w:numPr>
        <w:spacing/>
        <w:jc w:val="both"/>
        <w:rPr>
          <w:rFonts w:cstheme="minorHAnsi"/>
          <w:lang w:eastAsia="hr-HR"/>
        </w:rPr>
      </w:pPr>
      <w:r>
        <w:rPr>
          <w:rFonts w:eastAsia="Calibri" w:cstheme="minorHAnsi"/>
          <w:lang w:eastAsia="hr-HR"/>
        </w:rPr>
        <w:t xml:space="preserve">dokaz o odgovarajućem stupnju obrazovanja (preslika svjedodžbe/diplome o stečenoj stručnoj spremi)</w:t>
      </w:r>
    </w:p>
    <w:p>
      <w:pPr>
        <w:pStyle w:val="Odlomakpopisa"/>
        <w:numPr>
          <w:ilvl w:val="0"/>
          <w:numId w:val="1"/>
        </w:numPr>
        <w:spacing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30 dana na dan raspisivanja natječaja,</w:t>
      </w:r>
    </w:p>
    <w:p>
      <w:pPr>
        <w:pStyle w:val="Bezproreda1"/>
        <w:numPr>
          <w:ilvl w:val="0"/>
          <w:numId w:val="1"/>
        </w:numPr>
        <w:spacing/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elektronički zapis ili potvrdu o podacima evidentiranim u bazi podataka Hrvatskog zavoda za mirovinsko osiguranje. </w:t>
      </w:r>
    </w:p>
    <w:p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i/>
          <w:lang w:eastAsia="hr-HR"/>
        </w:rPr>
      </w:pPr>
      <w:r>
        <w:rPr>
          <w:rFonts w:cstheme="minorHAnsi"/>
        </w:rPr>
        <w:t xml:space="preserve">program obrazovanja za stjecanje djelomičnih kvalifikacija operativnog djelatnika za sigurnost i civilnu zaštitu u odgojno obrazovnim ustanovama, ukoliko je završen </w:t>
      </w:r>
    </w:p>
    <w:p>
      <w:p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p>
      <w:pPr>
        <w:spacing/>
        <w:ind w:left="720"/>
        <w:jc w:val="both"/>
        <w:rPr>
          <w:rFonts w:asciiTheme="minorHAnsi" w:hAnsiTheme="minorHAnsi" w:eastAsia="Calibri" w:cstheme="minorHAnsi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Navedene isprave odnosno prilozi dostavljaju se u neovjerenoj preslici. </w:t>
      </w:r>
    </w:p>
    <w:p>
      <w:pPr>
        <w:spacing/>
        <w:ind w:left="720"/>
        <w:jc w:val="both"/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Prije sklapanja ugovora o radu odabrani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 kandidat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120/16.,57/22).</w:t>
      </w:r>
    </w:p>
    <w:p>
      <w:pPr>
        <w:spacing/>
        <w:ind w:left="720"/>
        <w:jc w:val="both"/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Kandidati koji ostvaruje pravo prednosti pri zapošljavanju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na </w:t>
      </w:r>
      <w:r>
        <w:rPr>
          <w:rFonts w:asciiTheme="minorHAnsi" w:hAnsiTheme="minorHAnsi" w:eastAsia="Calibri" w:cstheme="minorHAnsi"/>
          <w:sz w:val="22"/>
          <w:szCs w:val="22"/>
          <w:lang w:val="pl-PL"/>
        </w:rPr>
        <w:t xml:space="preserve">temelju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članka 102. 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stavaka 1.-3. 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Zakona o hrvatskim braniteljima iz Domovinskog rata i članovima njihovih obitelji (Narodne novine, broj: 121/17.,98/19.,84/21 i 156/23), članka 48.f Zakona o zaštiti vojnih i civilnih invalida rata (Narodne novine, broj: </w:t>
      </w: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33/92., 57/92., 77/92., 27/93., 58/93., 02/94., 76/94., 108/95., 108/96., 82/01.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, 103/03</w:t>
      </w: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 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, </w:t>
      </w: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148/13 i 98/19.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) ili članka 9. Zakona o profesionalnoj rehabilitaciji i zapošljavanju osoba s invaliditetom (Narodne novine, broj: 157/13., 152/14. , 39/18. i 32/20)  ili članka 48. stavaka 1.-3. Zakona o civilnim stradalnicima Domovinskog rata (Narodne Novine, broj:84/21), 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dužni su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u prijavi na javni natječaj pozvati se na to pravo i uz prijavu </w:t>
      </w: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na natječaj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pored navedenih isprava odnosno priloga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priložiti svu propisanu dokumentaciju prema posebnom zakonu 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te ima prednost u odnosu na ostale kandidate samo pod jednakim uvjetima.</w:t>
      </w:r>
    </w:p>
    <w:p>
      <w:pPr>
        <w:spacing w:before="100" w:beforeAutospacing="1" w:after="161"/>
        <w:ind w:left="720"/>
        <w:rPr>
          <w:rFonts w:asciiTheme="minorHAnsi" w:hAnsiTheme="minorHAnsi" w:cstheme="minorHAnsi"/>
          <w:color w:val="000000"/>
          <w:sz w:val="22"/>
          <w:szCs w:val="22"/>
          <w:lang w:val="hr-HR" w:eastAsia="hr-HR"/>
        </w:rPr>
      </w:pPr>
      <w:r>
        <w:rPr>
          <w:rFonts w:asciiTheme="minorHAnsi" w:hAnsiTheme="minorHAnsi" w:cstheme="minorHAnsi"/>
          <w:sz w:val="22"/>
          <w:szCs w:val="22"/>
          <w:lang w:val="hr-HR" w:eastAsia="hr-HR"/>
        </w:rPr>
        <w:t xml:space="preserve">Kandidat koji se poziva na pravo prednosti pri zapošljavanju na </w:t>
      </w:r>
      <w:r>
        <w:rPr>
          <w:rFonts w:asciiTheme="minorHAnsi" w:hAnsiTheme="minorHAnsi" w:cstheme="minorHAnsi"/>
          <w:sz w:val="22"/>
          <w:szCs w:val="22"/>
          <w:lang w:val="pl-PL" w:eastAsia="hr-HR"/>
        </w:rPr>
        <w:t xml:space="preserve">temelju </w:t>
      </w:r>
      <w:r>
        <w:rPr>
          <w:rFonts w:asciiTheme="minorHAnsi" w:hAnsiTheme="minorHAnsi" w:cstheme="minorHAnsi"/>
          <w:sz w:val="22"/>
          <w:szCs w:val="22"/>
          <w:lang w:val="hr-HR" w:eastAsia="hr-HR"/>
        </w:rPr>
        <w:t xml:space="preserve">članka 102. </w:t>
      </w:r>
      <w:r>
        <w:rPr>
          <w:rFonts w:asciiTheme="minorHAnsi" w:hAnsiTheme="minorHAnsi" w:cstheme="minorHAnsi"/>
          <w:color w:val="231F20"/>
          <w:sz w:val="22"/>
          <w:szCs w:val="22"/>
          <w:lang w:val="hr-HR"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  <w:sz w:val="22"/>
          <w:szCs w:val="22"/>
          <w:lang w:val="hr-HR" w:eastAsia="hr-HR"/>
        </w:rPr>
        <w:t xml:space="preserve"> dužan je uz prijavu na natječaj pored navedenih isprava odnosno priloga priložiti i sve potrebne dokaze iz članka 103. stavka 1. </w:t>
      </w:r>
      <w:r>
        <w:rPr>
          <w:rFonts w:asciiTheme="minorHAnsi" w:hAnsiTheme="minorHAnsi" w:cstheme="minorHAnsi"/>
          <w:color w:val="231F20"/>
          <w:sz w:val="22"/>
          <w:szCs w:val="22"/>
          <w:lang w:val="hr-HR"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  <w:sz w:val="22"/>
          <w:szCs w:val="22"/>
          <w:lang w:val="hr-HR" w:eastAsia="hr-HR"/>
        </w:rPr>
        <w:t xml:space="preserve"> koji su dostupni na poveznici na internetsku stranicu Ministarstva hrvatskih branitelja: </w:t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Theme="minorHAnsi" w:hAnsiTheme="minorHAnsi" w:eastAsia="Calibri" w:cstheme="minorHAnsi"/>
          <w:color w:val="4DB2EC"/>
          <w:sz w:val="22"/>
          <w:szCs w:val="22"/>
          <w:lang w:val="hr-HR" w:eastAsia="hr-HR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>
      <w:pPr>
        <w:spacing w:after="160" w:line="252" w:lineRule="auto"/>
        <w:ind w:left="720"/>
        <w:contextualSpacing/>
        <w:jc w:val="both"/>
        <w:rPr>
          <w:rFonts w:asciiTheme="minorHAnsi" w:hAnsiTheme="minorHAnsi" w:eastAsiaTheme="minorHAnsi" w:cstheme="minorHAnsi"/>
          <w:sz w:val="22"/>
          <w:szCs w:val="22"/>
          <w:lang w:val="hr-HR"/>
        </w:rPr>
      </w:pP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Kandidat koji se poziva na pravo prednosti pri zapošljavanju na temelju članka 48. stavaka 1. do 3. Zakona o civilnim stradalnicima iz Domovinskog rata (Narodne novine, broj: 84/21) dužan je uz prijavu na natječaj pored navedenih isprava odnosno priloga priložiti i sve potrebne </w:t>
      </w: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dokaze iz članka 49. stavka 1. Zakona o civilnim stradalnicima iz Domovinskog rata koji su dostupni na poveznici: </w:t>
      </w:r>
    </w:p>
    <w:p>
      <w:pPr>
        <w:spacing w:before="100" w:beforeAutospacing="1" w:after="161"/>
        <w:ind w:left="720"/>
        <w:rPr>
          <w:rFonts w:asciiTheme="minorHAnsi" w:hAnsiTheme="minorHAnsi" w:eastAsia="Calibri" w:cstheme="minorHAnsi"/>
          <w:color w:val="4DB2EC"/>
          <w:sz w:val="22"/>
          <w:szCs w:val="22"/>
          <w:lang w:val="hr-HR" w:eastAsia="hr-HR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Theme="minorHAnsi" w:hAnsiTheme="minorHAnsi" w:eastAsia="Calibri" w:cstheme="minorHAnsi"/>
          <w:color w:val="4DB2EC"/>
          <w:sz w:val="22"/>
          <w:szCs w:val="22"/>
          <w:lang w:val="hr-HR" w:eastAsia="hr-HR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 w:after="160" w:line="252" w:lineRule="auto"/>
        <w:ind w:left="720"/>
        <w:contextualSpacing/>
        <w:rPr>
          <w:rFonts w:asciiTheme="minorHAnsi" w:hAnsiTheme="minorHAnsi" w:eastAsiaTheme="minorHAnsi" w:cstheme="minorHAnsi"/>
          <w:sz w:val="22"/>
          <w:szCs w:val="22"/>
          <w:lang w:val="hr-HR"/>
        </w:rPr>
      </w:pPr>
      <w:r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  <w:t xml:space="preserve">Sve kandidate koji su pravodobno dostavili potpunu prijavu sa svim prilozima, odnosno ispravama i koji ispunjavaju uvjete natječaja Povjerenstvo će pozvati na procjenu, odnosno testiranje najmanje pet dana prije dana određenog za procjenu, odnosno testiranje. U pozivu će biti navedeni način i područje procjene odnosno testiranja. Poziv će se dostaviti putem elektroničke pošte na e-mail kandidata i bit će objavljen javno dostupnim mrežnim stranicama škole.</w:t>
      </w:r>
    </w:p>
    <w:p>
      <w:pPr>
        <w:spacing/>
        <w:ind w:left="720"/>
        <w:contextualSpacing/>
        <w:jc w:val="both"/>
        <w:rPr>
          <w:rFonts w:asciiTheme="minorHAnsi" w:hAnsiTheme="minorHAnsi" w:eastAsiaTheme="minorHAnsi" w:cstheme="minorHAnsi"/>
          <w:color w:val="FF0000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Na javno dostupnoj mrežnoj stranici Škole, poveznica:</w:t>
      </w: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 </w:t>
      </w:r>
      <w:r>
        <w:rPr/>
        <w:fldChar w:fldCharType="begin"/>
      </w:r>
      <w:r>
        <w:rPr/>
        <w:instrText xml:space="preserve">HYPERLINK "https://os-manus-st.skole.hr/oglasi-za-posao/" </w:instrText>
      </w:r>
      <w:r>
        <w:rPr/>
        <w:fldChar w:fldCharType="separate"/>
      </w:r>
      <w:r>
        <w:rPr>
          <w:rStyle w:val="Hiperveza"/>
          <w:rFonts w:asciiTheme="minorHAnsi" w:hAnsiTheme="minorHAnsi" w:eastAsiaTheme="minorHAnsi" w:cstheme="minorHAnsi"/>
          <w:color w:val="4DB2EC"/>
          <w:sz w:val="22"/>
          <w:szCs w:val="22"/>
          <w:lang w:val="hr-HR"/>
        </w:rPr>
        <w:t xml:space="preserve">https://os-manus-st.skole.hr/oglasi-za-posao/</w:t>
      </w:r>
      <w:r>
        <w:rPr/>
        <w:fldChar w:fldCharType="end"/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</w:t>
      </w:r>
      <w:r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  <w:t xml:space="preserve">će se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</w:t>
      </w:r>
      <w:r>
        <w:rPr>
          <w:rFonts w:asciiTheme="minorHAnsi" w:hAnsiTheme="minorHAnsi" w:eastAsia="Calibri" w:cstheme="minorHAnsi"/>
          <w:color w:val="FF0000"/>
          <w:sz w:val="22"/>
          <w:szCs w:val="22"/>
          <w:lang w:val="hr-HR"/>
        </w:rPr>
        <w:t xml:space="preserve">. </w:t>
      </w:r>
    </w:p>
    <w:p>
      <w:pPr>
        <w:spacing w:after="160" w:line="252" w:lineRule="auto"/>
        <w:ind w:left="720"/>
        <w:contextualSpacing/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Kandidat koji</w:t>
      </w:r>
      <w:r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  <w:t xml:space="preserve"> je pravodobno dostavio potpunu vlastoručno potpisanu prijavu sa svim prilozima odnosno ispravama i ispunjava uvjete natječaja </w:t>
      </w: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obvezan</w:t>
      </w:r>
      <w:r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  <w:t xml:space="preserve"> je pristupiti procjeni</w:t>
      </w: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 odnosno testiranju </w:t>
      </w:r>
      <w:r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  <w:t xml:space="preserve">prema odredbama Pravilnika o postupku zapošljavanja te procjeni i vrednovanju kandidata za zapošljavanje i Pravilnika o izmjenama i dopunama Pravilnika o postupku zapošljavanja te procjeni i vrednovanju kandidata za zapošljavanje u Osnovnoj školi Manuš-Split,  a koji su dostupni na poveznici:</w:t>
      </w:r>
    </w:p>
    <w:p>
      <w:pPr>
        <w:spacing w:after="160" w:line="252" w:lineRule="auto"/>
        <w:ind w:left="720"/>
        <w:contextualSpacing/>
        <w:rPr>
          <w:rFonts w:asciiTheme="minorHAnsi" w:hAnsiTheme="minorHAnsi" w:eastAsiaTheme="minorHAnsi" w:cstheme="minorHAnsi"/>
          <w:sz w:val="22"/>
          <w:szCs w:val="22"/>
          <w:lang w:val="hr-HR"/>
        </w:rPr>
      </w:pPr>
      <w:r>
        <w:rPr/>
        <w:fldChar w:fldCharType="begin"/>
      </w:r>
      <w:r>
        <w:rPr/>
        <w:instrText xml:space="preserve">HYPERLINK "http://os-manus-st.skole.hr/zakoni" </w:instrText>
      </w:r>
      <w:r>
        <w:rPr/>
        <w:fldChar w:fldCharType="separate"/>
      </w:r>
      <w:r>
        <w:rPr>
          <w:rStyle w:val="Hiperveza"/>
          <w:rFonts w:asciiTheme="minorHAnsi" w:hAnsiTheme="minorHAnsi" w:eastAsiaTheme="minorHAnsi" w:cstheme="minorHAnsi"/>
          <w:color w:val="4DB2EC"/>
          <w:sz w:val="22"/>
          <w:szCs w:val="22"/>
          <w:lang w:val="hr-HR"/>
        </w:rPr>
        <w:t xml:space="preserve">http://os-manus-st.skole.hr/zakoni</w:t>
      </w:r>
      <w:r>
        <w:rPr/>
        <w:fldChar w:fldCharType="end"/>
      </w:r>
    </w:p>
    <w:p>
      <w:pPr>
        <w:spacing w:after="160" w:line="252" w:lineRule="auto"/>
        <w:ind w:left="720"/>
        <w:contextualSpacing/>
        <w:rPr>
          <w:rFonts w:asciiTheme="minorHAnsi" w:hAnsiTheme="minorHAnsi" w:eastAsiaTheme="minorHAnsi" w:cstheme="minorHAnsi"/>
          <w:sz w:val="22"/>
          <w:szCs w:val="22"/>
          <w:lang w:val="hr-HR"/>
        </w:rPr>
      </w:pP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Kandidat koji ne pristupi procjeni odnosno testiranju smatra se da je odustao od prijave na natječaj. </w:t>
      </w:r>
    </w:p>
    <w:p>
      <w:pPr>
        <w:spacing w:after="160" w:line="252" w:lineRule="auto"/>
        <w:ind w:left="720"/>
        <w:contextualSpacing/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Kandidat </w:t>
      </w:r>
      <w:r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  <w:t xml:space="preserve">prijavom na natječaj </w:t>
      </w: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daje </w:t>
      </w:r>
      <w:r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  <w:t xml:space="preserve">privolu za obradu osobnih podataka navedenih u svim dostavljenim prilozima odnosno ispravama za potrebe provedbe javnog natječaja</w:t>
      </w: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 sukladno važećim propisima o zaštiti osobnih podataka.</w:t>
      </w:r>
    </w:p>
    <w:p>
      <w:pPr>
        <w:spacing/>
        <w:ind w:left="720"/>
        <w:jc w:val="both"/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spacing w:line="480" w:lineRule="auto"/>
        <w:ind w:left="720"/>
        <w:jc w:val="both"/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Vlastoručno potpisane prijave na natječaj dostavljaju se neposredno ili poštom na adresu: </w:t>
      </w:r>
      <w:r>
        <w:rPr>
          <w:rFonts w:asciiTheme="minorHAnsi" w:hAnsiTheme="minorHAnsi" w:eastAsia="Calibri" w:cstheme="minorHAnsi"/>
          <w:sz w:val="22"/>
          <w:szCs w:val="22"/>
          <w:lang w:val="pl-PL"/>
        </w:rPr>
        <w:t xml:space="preserve">Osnovna škola Manuš-Split, Split,Vukovarska 11, 21000 Split 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s naznakom ˝za ,natječaj-za radno </w:t>
      </w:r>
      <w:r>
        <w:rPr>
          <w:rFonts w:asciiTheme="minorHAnsi" w:hAnsiTheme="minorHAnsi" w:eastAsia="Calibri" w:cstheme="minorHAnsi"/>
          <w:sz w:val="22"/>
          <w:szCs w:val="22"/>
          <w:lang w:val="pl-PL"/>
        </w:rPr>
        <w:t xml:space="preserve">mjesto  „</w:t>
      </w:r>
      <w:r>
        <w:rPr>
          <w:rFonts w:asciiTheme="minorHAnsi" w:hAnsiTheme="minorHAnsi" w:eastAsia="Calibri" w:cstheme="minorHAnsi"/>
          <w:b/>
          <w:sz w:val="22"/>
          <w:szCs w:val="22"/>
          <w:lang w:val="hr-HR"/>
        </w:rPr>
        <w:t xml:space="preserve">OPERATIVNI DJELATNIK ZA SIGURNOST I CIVILNU ZAŠTITU- NEPUNO ODREĐENO RADNO VRIJEME “.</w:t>
      </w:r>
    </w:p>
    <w:p>
      <w:pPr>
        <w:spacing/>
        <w:ind w:left="720"/>
        <w:jc w:val="both"/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Nepravodobne, nepotpune i vlastoručno nepotpisane prijave neće se razmatrati.</w:t>
      </w:r>
    </w:p>
    <w:p>
      <w:pPr>
        <w:spacing/>
        <w:ind w:left="720"/>
        <w:jc w:val="both"/>
        <w:rPr>
          <w:rFonts w:asciiTheme="minorHAnsi" w:hAnsiTheme="minorHAnsi" w:eastAsia="Calibri" w:cstheme="minorHAnsi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"https://os-manus-st.skole.hr/oglasi-za-posao/" </w:instrText>
      </w:r>
      <w:r>
        <w:rPr/>
        <w:fldChar w:fldCharType="separate"/>
      </w:r>
      <w:r>
        <w:rPr>
          <w:rStyle w:val="Hiperveza"/>
          <w:rFonts w:asciiTheme="minorHAnsi" w:hAnsiTheme="minorHAnsi" w:eastAsia="Calibri" w:cstheme="minorHAnsi"/>
          <w:color w:val="4DB2EC"/>
          <w:sz w:val="22"/>
          <w:szCs w:val="22"/>
          <w:lang w:val="hr-HR"/>
        </w:rPr>
        <w:t xml:space="preserve">https://os-manus-st.skole.hr/oglasi-za-posao/</w:t>
      </w:r>
      <w:r>
        <w:rPr/>
        <w:fldChar w:fldCharType="end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, najkasnije u roku od petnaest dana od dana sklapanja ugovora o radu s 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odabranim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spacing/>
        <w:ind w:left="3540"/>
        <w:jc w:val="both"/>
        <w:rPr>
          <w:rFonts w:asciiTheme="minorHAnsi" w:hAnsiTheme="minorHAnsi" w:eastAsia="Calibri" w:cstheme="minorHAnsi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    Ravnateljica:</w:t>
      </w:r>
    </w:p>
    <w:p>
      <w:pPr>
        <w:spacing/>
        <w:ind w:left="4968" w:firstLine="696"/>
        <w:jc w:val="both"/>
        <w:rPr>
          <w:rFonts w:asciiTheme="minorHAnsi" w:hAnsiTheme="minorHAnsi" w:eastAsia="Calibri" w:cstheme="minorHAnsi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    Marita Guć, prof.</w:t>
      </w:r>
    </w:p>
    <w:p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</w:p>
    <w:p>
      <w:p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charset w:val="2"/>
    <w:family w:val="auto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92628"/>
    <w:lvl w:ilvl="0">
      <w:start w:val="1"/>
      <w:numFmt w:val="bullet"/>
      <w:suff w:val="tab"/>
      <w:lvlText w:val=""/>
      <w:pPr>
        <w:spacing/>
        <w:ind w:left="72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6866C8A"/>
    <w:lvl w:ilvl="0">
      <w:start w:val="1"/>
      <w:numFmt w:val="bullet"/>
      <w:suff w:val="tab"/>
      <w:lvlText w:val=""/>
      <w:pPr>
        <w:spacing/>
        <w:ind w:left="1080" w:hanging="360"/>
      </w:pPr>
      <w:rPr>
        <w:rFonts w:ascii="Wingdings" w:hAnsi="Wingdings" w:eastAsia="Wingdings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eastAsia="Wingdings" w:hint="default"/>
      </w:rPr>
    </w:lvl>
  </w:abstractNum>
  <w:abstractNum w:abstractNumId="2">
    <w:nsid w:val="66866C8B"/>
    <w:lvl w:ilvl="0">
      <w:start w:val="17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3">
    <w:nsid w:val="66866C8C"/>
    <w:lvl w:ilvl="0">
      <w:start w:val="1"/>
      <w:numFmt w:val="bullet"/>
      <w:suff w:val="tab"/>
      <w:lvlText w:val=""/>
      <w:pPr>
        <w:spacing/>
        <w:ind w:left="720" w:hanging="360"/>
      </w:pPr>
      <w:rPr>
        <w:rFonts w:ascii="Wingdings" w:hAnsi="Wingdings" w:eastAsia="Wingdings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66866C8D"/>
    <w:lvl w:ilvl="0">
      <w:start w:val="1"/>
      <w:numFmt w:val="bullet"/>
      <w:suff w:val="tab"/>
      <w:lvlText w:val=""/>
      <w:pPr>
        <w:spacing/>
        <w:ind w:left="720" w:hanging="360"/>
      </w:pPr>
      <w:rPr>
        <w:rFonts w:ascii="Wingdings" w:hAnsi="Wingdings" w:eastAsia="Wingdings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pPr>
      <w:spacing w:before="100" w:beforeAutospacing="1" w:after="100" w:afterAutospacing="1"/>
    </w:pPr>
    <w:rPr/>
  </w:style>
  <w:style w:type="character" w:styleId="BezproredaChar" w:customStyle="1">
    <w:name w:val="Bez proreda Char"/>
    <w:basedOn w:val="Zadanifontodlomka"/>
    <w:link w:val="Bezproreda1"/>
    <w:uiPriority w:val="1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Bezproreda1" w:customStyle="1">
    <w:name w:val="Bez proreda1"/>
    <w:link w:val="BezproredaChar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pPr>
      <w:spacing w:after="160" w:line="254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hr-HR"/>
    </w:rPr>
  </w:style>
  <w:style w:type="paragraph" w:styleId="Bezproreda1_0" w:customStyle="1">
    <w:name w:val="Bez proreda1_0"/>
    <w:uiPriority w:val="1"/>
    <w:semiHidden/>
    <w:qFormat/>
    <w:pPr>
      <w:spacing w:after="0" w:line="240" w:lineRule="auto"/>
    </w:pPr>
    <w:rPr>
      <w:rFonts w:ascii="Calibri" w:hAnsi="Calibri" w:eastAsia="Calibri" w:cs="Times New Roman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Istaknuto">
    <w:name w:val="Emphasis"/>
    <w:basedOn w:val="Zadanifontodlomka"/>
    <w:qFormat/>
    <w:rPr>
      <w:i/>
      <w:iCs/>
    </w:rPr>
  </w:style>
  <w:style w:type="character" w:styleId="Naglaeno">
    <w:name w:val="Strong"/>
    <w:basedOn w:val="Zadanifontodlomka"/>
    <w:qFormat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32</TotalTime>
  <Pages>1</Pages>
  <Words>1529</Words>
  <Characters>8718</Characters>
  <Application>Microsoft Office Word</Application>
  <DocSecurity>0</DocSecurity>
  <Lines>72</Lines>
  <Paragraphs>20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27</cp:revision>
  <dcterms:created xsi:type="dcterms:W3CDTF">2025-10-22T10:21:00Z</dcterms:created>
  <dcterms:modified xsi:type="dcterms:W3CDTF">2026-06-05T07:40:00Z</dcterms:modified>
</cp:coreProperties>
</file>