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7c50f1ed65747a5"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13318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MANUŠ-SPLIT</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1.194.169,38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1.248.810,48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1.344.009,91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1.235.184,02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13.626,46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3.862,46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3.862,46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1.437,50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37,2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12.188,96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Ukupni prihodi poslovanja su 1.248.810,48 eura. Ukupni rashodi poslovanja su 1.235.184,02 eura. Višak prihoda od poslovanja je 13.626,46 eura. Ukupni prihodi od prodaje nefinancijske imovine su 0,00 eura, dok su ukupni rashodi za nabavu nefinancijske imovine su 1.437,50 eura, pa je manjak prihoda od nefinancijske imovine 1.437,50 eura. Ukupni primici od financijske imovine i zaduživanja te ukupni izdaci za financijsku imovinu i otplate zajmova su 0,00 eura. Ukupni višak prihoda i primitaka je 12.188,96 eura.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63.380,16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80.545,06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127,1</w:t>
            </w:r>
          </w:p>
        </w:tc>
      </w:tr>
    </w:tbl>
    <w:p>
      <w:pPr>
        <w:spacing w:before="0" w:after="0"/>
      </w:pPr>
    </w:p>
    <w:p>
      <w:r>
        <w:t xml:space="preserve">Roditelji čija djeca koriste uslugu produženog boravka, u ovom su razdoblju 01-06/2026 pored uplata za tekuće razdoblje, podmirili dug iz 2025. 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214.331,89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253.272,07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118,2</w:t>
            </w:r>
          </w:p>
        </w:tc>
      </w:tr>
    </w:tbl>
    <w:p>
      <w:pPr>
        <w:spacing w:before="0" w:after="0"/>
      </w:pPr>
    </w:p>
    <w:p>
      <w:r>
        <w:t xml:space="preserve">Iznos povećanja u odnosu na prethodnu godinu proizlazi iz povećanja osnovice plaće za produženi boravak i pomoćnike u nastavi u ovoj godini kao i iz povećanja cijena za materijal i usluge za redovno poslovanje.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1.344.009,91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1.235.184,02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91,9</w:t>
            </w:r>
          </w:p>
        </w:tc>
      </w:tr>
    </w:tbl>
    <w:p>
      <w:pPr>
        <w:spacing w:before="0" w:after="0"/>
      </w:pPr>
    </w:p>
    <w:p>
      <w:r>
        <w:t xml:space="preserv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1.176.016,61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1.068.877,10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90,9</w:t>
            </w:r>
          </w:p>
        </w:tc>
      </w:tr>
    </w:tbl>
    <w:p>
      <w:pPr>
        <w:spacing w:before="0" w:after="0"/>
      </w:pPr>
    </w:p>
    <w:p>
      <w:r>
        <w:t xml:space="preserve">Razlika u odnosu na prošlu godinu proizlazi iz novog Pravilnika o proračunskom računovodstvu i načina evidentiranja troška plaće. U periodu 01-06/2025 na trošku je evidentirano 7 plaća, a u periodu 01-06/2026 je 6 plaća.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11.243,00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8.837,00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78,6</w:t>
            </w:r>
          </w:p>
        </w:tc>
      </w:tr>
    </w:tbl>
    <w:p>
      <w:pPr>
        <w:spacing w:before="0" w:after="0"/>
      </w:pPr>
    </w:p>
    <w:p>
      <w:r>
        <w:t xml:space="preserve">U odnosu na prethodnu godinu za isto razdoblje od 01-06 bilo je manje ostvarenih službenih putovanja.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1.537,88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2.874,82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186,9</w:t>
            </w:r>
          </w:p>
        </w:tc>
      </w:tr>
    </w:tbl>
    <w:p>
      <w:pPr>
        <w:spacing w:before="0" w:after="0"/>
      </w:pPr>
    </w:p>
    <w:p>
      <w:r>
        <w:t xml:space="preserve">U ovom je periodu, u odnosu na prošlu godinu, došlo do povećanja iznosa zbog tekućeg održavanja unutrašnjosti školske zgrade.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1.106,57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20,6</w:t>
            </w:r>
          </w:p>
        </w:tc>
      </w:tr>
    </w:tbl>
    <w:p>
      <w:pPr>
        <w:spacing w:before="0" w:after="0"/>
      </w:pPr>
    </w:p>
    <w:p>
      <w:r>
        <w:t xml:space="preserve">Zbog evidentiranja na različitim kontima, ove je godine u istom periodu u odnosu na prošlu godinu iskazano manje troška na kontu 3299.</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3.862,46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37,2</w:t>
            </w:r>
          </w:p>
        </w:tc>
      </w:tr>
    </w:tbl>
    <w:p>
      <w:pPr>
        <w:spacing w:before="0" w:after="0"/>
      </w:pPr>
    </w:p>
    <w:p>
      <w:r>
        <w:t xml:space="preserve">U ovom je periodu nabavljeno manje imovine u odnosu na isti period prošle godine.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12.188,96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Višak poslovanja najvećim dijelom nastao je zbog priznavanja prihoda uplaćenih u periodu 01-06/2026. temeljem potraživanja od roditelja za usluge produženog boravka iz 2025. godine.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 preneseni (šifre '9221x,9222x MP' - '9221x,9222x VP' + 92223 - 92213)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9.303,88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191.985,93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2063,5</w:t>
            </w:r>
          </w:p>
        </w:tc>
      </w:tr>
    </w:tbl>
    <w:p>
      <w:pPr>
        <w:spacing w:before="0" w:after="0"/>
      </w:pPr>
    </w:p>
    <w:p>
      <w:r>
        <w:t xml:space="preserve">Najveći dio iznosa prenesenog manjka iz prošle godine proizlazi iz primjene novog Pravilnika o proračunskom računovodstvu i načina evidentiranja troška plaće koji se počeo primjenjivati od 01.01.2025. , pa je u 2025. na trošku plaće evidentirano 13 plaća. </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Sufinanciranje cijene usluge, participacije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62.088,76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76.175,68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122,7</w:t>
            </w:r>
          </w:p>
        </w:tc>
      </w:tr>
    </w:tbl>
    <w:p>
      <w:pPr>
        <w:spacing w:before="0" w:after="0"/>
      </w:pPr>
    </w:p>
    <w:p>
      <w:r>
        <w:t xml:space="preserve">Roditelji čija djeca koriste uslugu produženog boravka, u ovom su razdoblju 01-06/2026 pored uplata za tekuće razdoblje, podmirili dug iz 2025. godine.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bolest, invalidnost i smrtni slučaj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1.324,32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2.777,70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209,7</w:t>
            </w:r>
          </w:p>
        </w:tc>
      </w:tr>
    </w:tbl>
    <w:p>
      <w:pPr>
        <w:spacing w:before="0" w:after="0"/>
      </w:pPr>
    </w:p>
    <w:p>
      <w:r>
        <w:t xml:space="preserve">U ovom razdoblju bilo je više slučajeva za isplatu ovakvih naknada.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Nema dospjelih obveza.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3be22fdf80d141eb" /></Relationships>
</file>