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160" w:line="256" w:lineRule="auto"/>
        <w:rPr>
          <w:rFonts w:ascii="Times New Roman" w:hAnsi="Times New Roman" w:cs="Times New Roman"/>
        </w:rPr>
      </w:pPr>
      <w:bookmarkStart w:id="2" w:name="_Hlk162255770"/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                 </w:t>
      </w:r>
      <w:r>
        <w:rPr>
          <w:rFonts w:ascii="Times New Roman" w:hAnsi="Times New Roman" w:cs="Times New Roman"/>
          <w:b/>
          <w:noProof/>
        </w:rPr>
        <w:drawing>
          <wp:inline>
            <wp:extent cx="457200" cy="542925"/>
            <wp:effectExtent xmlns:wp="http://schemas.openxmlformats.org/drawingml/2006/wordprocessingDrawing" l="0" t="0" r="0" b="9525"/>
            <wp:docPr id="1" descr="GRB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358"/>
        <w:gridCol w:w="2712"/>
      </w:tblGrid>
      <w:tr>
        <w:trPr>
          <w:trHeight w:val="1649" w:hRule="atLeast"/>
        </w:trPr>
        <w:tc>
          <w:tcPr>
            <w:tcW w:type="dxa" w:w="6526"/>
            <w:tcBorders/>
            <w:hideMark/>
          </w:tcPr>
          <w:p>
            <w:pPr>
              <w:spacing w:line="256" w:lineRule="auto"/>
              <w:rPr>
                <w:rFonts w:ascii="Times New Roman" w:hAnsi="Times New Roman" w:cs="Times New Roman"/>
              </w:rPr>
            </w:pPr>
            <w:bookmarkStart w:id="3" w:name="_Hlk128748807"/>
            <w:r>
              <w:rPr>
                <w:rFonts w:ascii="Times New Roman" w:hAnsi="Times New Roman" w:cs="Times New Roman"/>
                <w:b/>
              </w:rPr>
              <w:t xml:space="preserve">REPUBLIKA HRVATSKA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OSNOVNA ŠKOLA MANUŠ-SPLIT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>
            <w:pPr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Vukovarska 11, 21000 Split                                                                                                    KLASA: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 xml:space="preserve">112-02/26-01/14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cs="Times New Roman"/>
                <w:noProof/>
              </w:rPr>
              <w:t xml:space="preserve">2181-1-278-26-2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Split, </w:t>
            </w:r>
            <w:r>
              <w:rPr>
                <w:rFonts w:ascii="Times New Roman" w:hAnsi="Times New Roman" w:cs="Times New Roman"/>
              </w:rPr>
              <w:t xml:space="preserve">02.10</w:t>
            </w:r>
            <w:r>
              <w:rPr>
                <w:rFonts w:ascii="Times New Roman" w:hAnsi="Times New Roman" w:cs="Times New Roman"/>
              </w:rPr>
              <w:t xml:space="preserve">.2026.</w:t>
            </w:r>
          </w:p>
        </w:tc>
        <w:tc>
          <w:tcPr>
            <w:tcW w:type="dxa" w:w="2755"/>
            <w:tcBorders/>
            <w:hideMark/>
          </w:tcPr>
          <w:p>
            <w:pPr>
              <w:spacing w:after="160" w:line="256" w:lineRule="auto"/>
              <w:jc w:val="right"/>
              <w:rPr>
                <w:rFonts w:ascii="Times New Roman" w:hAnsi="Times New Roman" w:cs="Times New Roman"/>
              </w:rPr>
            </w:pPr>
            <w:r>
              <w:rPr/>
              <w:drawing>
                <wp:inline>
                  <wp:extent cx="933580" cy="933580"/>
                  <wp:docPr id="2" name="Pict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End w:id="3"/>
      </w:tr>
    </w:tbl>
    <w:p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bookmarkEnd w:id="2"/>
    <w:p>
      <w:pPr>
        <w:spacing w:line="240" w:lineRule="auto"/>
        <w:rPr>
          <w:rFonts w:cstheme="minorHAnsi"/>
        </w:rPr>
      </w:pPr>
      <w:r>
        <w:rPr>
          <w:rFonts w:cstheme="minorHAnsi"/>
          <w:lang w:val="pl-PL"/>
        </w:rPr>
        <w:t xml:space="preserve">  N</w:t>
      </w:r>
      <w:r>
        <w:rPr>
          <w:rFonts w:cstheme="minorHAnsi"/>
        </w:rPr>
        <w:t xml:space="preserve">a temelju članka 14. stavak 5. Pravilnika o postupku zapošljavanja te procjeni i vrednovanju kandidata za zapošljavanje Osnovne škole Manuš-Split, Split, Povjerenstvo za procjenu i vrednovanje kandidata za zapošljavanje donosi:</w:t>
      </w:r>
    </w:p>
    <w:p>
      <w:pPr>
        <w:spacing w:line="240" w:lineRule="auto"/>
        <w:jc w:val="center"/>
        <w:rPr>
          <w:rFonts w:cstheme="minorHAnsi"/>
        </w:rPr>
      </w:pPr>
    </w:p>
    <w:p>
      <w:pPr>
        <w:spacing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ODLUKU</w:t>
      </w:r>
    </w:p>
    <w:p>
      <w:pPr>
        <w:spacing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o načinu procjene odnosno testiranja kandidata prijavljenih na natječaj </w:t>
      </w:r>
    </w:p>
    <w:p>
      <w:pPr>
        <w:spacing w:line="240" w:lineRule="auto"/>
        <w:jc w:val="center"/>
        <w:rPr>
          <w:rFonts w:cstheme="minorHAnsi"/>
        </w:rPr>
      </w:pPr>
    </w:p>
    <w:p>
      <w:pPr>
        <w:spacing w:line="240" w:lineRule="auto"/>
        <w:jc w:val="center"/>
        <w:rPr>
          <w:rFonts w:cstheme="minorHAnsi"/>
        </w:rPr>
      </w:pPr>
      <w:r>
        <w:rPr>
          <w:rFonts w:cstheme="minorHAnsi"/>
        </w:rPr>
        <w:t xml:space="preserve">I.</w:t>
      </w:r>
    </w:p>
    <w:p>
      <w:pPr>
        <w:spacing/>
        <w:jc w:val="both"/>
        <w:rPr>
          <w:rFonts w:cstheme="minorHAnsi"/>
        </w:rPr>
      </w:pPr>
      <w:r>
        <w:rPr>
          <w:rFonts w:cstheme="minorHAnsi"/>
        </w:rPr>
        <w:t xml:space="preserve">Za natječaj objavljen dana </w:t>
      </w:r>
      <w:r>
        <w:rPr>
          <w:rFonts w:cstheme="minorHAnsi"/>
        </w:rPr>
        <w:t xml:space="preserve">30.09</w:t>
      </w:r>
      <w:bookmarkStart w:id="4" w:name="_GoBack"/>
      <w:bookmarkEnd w:id="4"/>
      <w:r>
        <w:rPr>
          <w:rFonts w:cstheme="minorHAnsi"/>
        </w:rPr>
        <w:t xml:space="preserve">.2026. </w:t>
      </w:r>
      <w:r>
        <w:rPr>
          <w:rFonts w:cstheme="minorHAnsi"/>
          <w:color w:val="000000"/>
        </w:rPr>
        <w:t xml:space="preserve">na mrežnoj </w:t>
      </w:r>
      <w:r>
        <w:rPr>
          <w:rFonts w:cstheme="minorHAnsi"/>
          <w:bCs/>
          <w:color w:val="000000"/>
          <w:lang w:eastAsia="hr-HR"/>
        </w:rPr>
        <w:t xml:space="preserve">stranici i oglasnoj ploči Hrvatskog zavoda za zapošljavanje te mrežnoj</w:t>
      </w:r>
      <w:r>
        <w:rPr>
          <w:rFonts w:cstheme="minorHAnsi"/>
          <w:bCs/>
          <w:lang w:eastAsia="hr-HR"/>
        </w:rPr>
        <w:t xml:space="preserve"> stranici i </w:t>
      </w:r>
      <w:r>
        <w:rPr>
          <w:rFonts w:cstheme="minorHAnsi"/>
          <w:bCs/>
          <w:color w:val="000000"/>
          <w:lang w:eastAsia="hr-HR"/>
        </w:rPr>
        <w:t xml:space="preserve">oglasnoj ploči Osnovne škole Manuš-Split, Split,</w:t>
      </w:r>
      <w:r>
        <w:rPr>
          <w:rFonts w:cstheme="minorHAnsi"/>
          <w:bCs/>
          <w:i/>
          <w:color w:val="00B0F0"/>
          <w:lang w:eastAsia="hr-HR"/>
        </w:rPr>
        <w:t xml:space="preserve"> </w:t>
      </w:r>
      <w:r>
        <w:rPr>
          <w:rFonts w:cstheme="minorHAnsi"/>
        </w:rPr>
        <w:t xml:space="preserve">za radno</w:t>
      </w:r>
      <w:r>
        <w:rPr>
          <w:rFonts w:cstheme="minorHAnsi"/>
          <w:color w:val="00B0F0"/>
        </w:rPr>
        <w:t xml:space="preserve"> </w:t>
      </w:r>
      <w:r>
        <w:rPr>
          <w:rFonts w:cstheme="minorHAnsi"/>
        </w:rPr>
        <w:t xml:space="preserve">mjesto:</w:t>
      </w:r>
    </w:p>
    <w:p>
      <w:pPr>
        <w:spacing/>
        <w:jc w:val="both"/>
        <w:rPr>
          <w:rFonts w:cstheme="minorHAnsi"/>
          <w:color w:val="000000"/>
        </w:rPr>
      </w:pPr>
    </w:p>
    <w:p>
      <w:pPr>
        <w:pStyle w:val="Bezproreda1"/>
        <w:spacing/>
        <w:jc w:val="both"/>
        <w:rPr>
          <w:rFonts w:asciiTheme="minorHAnsi" w:hAnsiTheme="minorHAnsi" w:cstheme="minorHAnsi"/>
          <w:bCs/>
          <w:color w:val="000000"/>
          <w:sz w:val="24"/>
          <w:szCs w:val="24"/>
          <w:lang w:eastAsia="hr-HR"/>
        </w:rPr>
      </w:pPr>
      <w:r>
        <w:rPr>
          <w:rFonts w:asciiTheme="minorHAnsi" w:hAnsiTheme="minorHAnsi" w:cstheme="minorHAnsi"/>
          <w:bCs/>
          <w:color w:val="000000"/>
          <w:sz w:val="24"/>
          <w:szCs w:val="24"/>
          <w:lang w:eastAsia="hr-HR"/>
        </w:rPr>
        <w:t xml:space="preserve">                      OPERATIVNI DJELATNIK ZA SIGURNOST I CIVILNU ZAŠTITU   </w:t>
      </w:r>
    </w:p>
    <w:p>
      <w:pPr>
        <w:pStyle w:val="Bezproreda1"/>
        <w:spacing/>
        <w:jc w:val="both"/>
        <w:rPr>
          <w:rFonts w:asciiTheme="minorHAnsi" w:hAnsiTheme="minorHAnsi" w:cstheme="minorHAnsi"/>
          <w:bCs/>
          <w:color w:val="000000"/>
          <w:sz w:val="24"/>
          <w:szCs w:val="24"/>
          <w:lang w:eastAsia="hr-HR"/>
        </w:rPr>
      </w:pPr>
      <w:r>
        <w:rPr>
          <w:rFonts w:asciiTheme="minorHAnsi" w:hAnsiTheme="minorHAnsi" w:cstheme="minorHAnsi"/>
          <w:bCs/>
          <w:color w:val="000000"/>
          <w:sz w:val="24"/>
          <w:szCs w:val="24"/>
          <w:lang w:eastAsia="hr-HR"/>
        </w:rPr>
        <w:t xml:space="preserve">       </w:t>
      </w:r>
    </w:p>
    <w:p>
      <w:pPr>
        <w:pStyle w:val="Bezproreda1"/>
        <w:spacing/>
        <w:jc w:val="both"/>
        <w:rPr>
          <w:rFonts w:asciiTheme="minorHAnsi" w:hAnsiTheme="minorHAnsi" w:cstheme="minorHAnsi"/>
          <w:bCs/>
          <w:sz w:val="24"/>
          <w:szCs w:val="24"/>
          <w:lang w:eastAsia="hr-HR"/>
        </w:rPr>
      </w:pPr>
      <w:r>
        <w:rPr>
          <w:rFonts w:asciiTheme="minorHAnsi" w:hAnsiTheme="minorHAnsi" w:cstheme="minorHAnsi"/>
          <w:bCs/>
          <w:color w:val="000000"/>
          <w:sz w:val="24"/>
          <w:szCs w:val="24"/>
          <w:lang w:eastAsia="hr-HR"/>
        </w:rPr>
        <w:t xml:space="preserve">1 izvršitelj/</w:t>
      </w:r>
      <w:r>
        <w:rPr>
          <w:rFonts w:asciiTheme="minorHAnsi" w:hAnsiTheme="minorHAnsi" w:cstheme="minorHAnsi"/>
          <w:bCs/>
          <w:color w:val="000000"/>
          <w:sz w:val="24"/>
          <w:szCs w:val="24"/>
          <w:lang w:eastAsia="hr-HR"/>
        </w:rPr>
        <w:t xml:space="preserve">ica</w:t>
      </w:r>
      <w:r>
        <w:rPr>
          <w:rFonts w:asciiTheme="minorHAnsi" w:hAnsiTheme="minorHAnsi" w:cstheme="minorHAnsi"/>
          <w:bCs/>
          <w:color w:val="000000"/>
          <w:sz w:val="24"/>
          <w:szCs w:val="24"/>
          <w:lang w:eastAsia="hr-HR"/>
        </w:rPr>
        <w:t xml:space="preserve">  na određeno nepuno </w:t>
      </w:r>
      <w:r>
        <w:rPr>
          <w:rFonts w:asciiTheme="minorHAnsi" w:hAnsiTheme="minorHAnsi" w:cstheme="minorHAnsi"/>
          <w:bCs/>
          <w:sz w:val="24"/>
          <w:szCs w:val="24"/>
          <w:lang w:eastAsia="hr-HR"/>
        </w:rPr>
        <w:t xml:space="preserve"> radno vrijeme od 20/40 sati tjedno</w:t>
      </w:r>
    </w:p>
    <w:p>
      <w:pPr>
        <w:pStyle w:val="Bezproreda1"/>
        <w:spacing/>
        <w:jc w:val="both"/>
        <w:rPr>
          <w:rFonts w:asciiTheme="minorHAnsi" w:hAnsiTheme="minorHAnsi" w:cstheme="minorHAnsi"/>
          <w:bCs/>
          <w:sz w:val="24"/>
          <w:szCs w:val="24"/>
          <w:lang w:eastAsia="hr-HR"/>
        </w:rPr>
      </w:pPr>
    </w:p>
    <w:p>
      <w:pPr>
        <w:pStyle w:val="Bezproreda1"/>
        <w:spacing/>
        <w:jc w:val="both"/>
        <w:rPr>
          <w:rFonts w:asciiTheme="minorHAnsi" w:hAnsiTheme="minorHAnsi" w:cstheme="minorHAnsi"/>
          <w:bCs/>
          <w:sz w:val="24"/>
          <w:szCs w:val="24"/>
          <w:lang w:eastAsia="hr-HR"/>
        </w:rPr>
      </w:pPr>
      <w:r>
        <w:rPr>
          <w:rFonts w:asciiTheme="minorHAnsi" w:hAnsiTheme="minorHAnsi" w:cstheme="minorHAnsi"/>
          <w:bCs/>
          <w:sz w:val="24"/>
          <w:szCs w:val="24"/>
          <w:lang w:eastAsia="hr-HR"/>
        </w:rPr>
        <w:t xml:space="preserve"> </w:t>
      </w:r>
      <w:r>
        <w:rPr>
          <w:rFonts w:asciiTheme="minorHAnsi" w:hAnsiTheme="minorHAnsi" w:cstheme="minorHAnsi"/>
        </w:rPr>
        <w:t xml:space="preserve">utvrđuju se sljedeći način procjene odnosno testiranja kandidata</w:t>
      </w:r>
      <w:r>
        <w:rPr>
          <w:rFonts w:asciiTheme="minorHAnsi" w:hAnsiTheme="minorHAnsi" w:eastAsia="Times New Roman" w:cstheme="minorHAnsi"/>
          <w:color w:val="000000"/>
          <w:lang w:eastAsia="hr-HR"/>
        </w:rPr>
        <w:t xml:space="preserve">  USMENO TESTIRANJE</w:t>
      </w:r>
      <w:r>
        <w:rPr>
          <w:rFonts w:asciiTheme="minorHAnsi" w:hAnsiTheme="minorHAnsi" w:eastAsia="Times New Roman" w:cstheme="minorHAnsi"/>
          <w:color w:val="000000"/>
          <w:lang w:eastAsia="hr-HR"/>
        </w:rPr>
        <w:t xml:space="preserve"> iz poznavanja propisa iz djelokruga rada i to iz sljedećih izvora:</w:t>
      </w:r>
    </w:p>
    <w:p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color w:val="444444"/>
          <w:sz w:val="21"/>
          <w:szCs w:val="21"/>
          <w:lang w:val="en-US"/>
        </w:rPr>
      </w:pPr>
      <w:r>
        <w:rPr>
          <w:rFonts w:eastAsia="Times New Roman" w:cstheme="minorHAnsi"/>
          <w:b/>
          <w:color w:val="444444"/>
          <w:sz w:val="21"/>
          <w:szCs w:val="21"/>
          <w:lang w:val="en-US"/>
        </w:rPr>
        <w:t xml:space="preserve">Pravilnik o djelokrugu rada tajnika te administrativno-tehničkim i pomoćnim poslovima koji se obavljaju u osnovnoj školi (NN 40/14 i 71/25.) </w:t>
      </w:r>
    </w:p>
    <w:p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color w:val="444444"/>
          <w:sz w:val="21"/>
          <w:szCs w:val="21"/>
          <w:lang w:val="en-US"/>
        </w:rPr>
      </w:pPr>
      <w:r>
        <w:rPr>
          <w:rFonts w:eastAsia="Times New Roman" w:cstheme="minorHAnsi"/>
          <w:b/>
          <w:color w:val="444444"/>
          <w:sz w:val="21"/>
          <w:szCs w:val="21"/>
          <w:lang w:val="de-DE"/>
        </w:rPr>
        <w:t xml:space="preserve">Zakon o sustavu civilne zaštite („Narodne novine“</w:t>
      </w:r>
      <w:r>
        <w:rPr>
          <w:rFonts w:eastAsia="Times New Roman" w:cstheme="minorHAnsi"/>
          <w:b/>
          <w:color w:val="444444"/>
          <w:sz w:val="21"/>
          <w:szCs w:val="21"/>
          <w:lang w:val="en-US"/>
        </w:rPr>
        <w:t xml:space="preserve">, br. </w:t>
      </w:r>
      <w:r>
        <w:rPr>
          <w:rFonts w:eastAsia="Times New Roman" w:cstheme="minorHAnsi"/>
          <w:b/>
          <w:color w:val="444444"/>
          <w:sz w:val="21"/>
          <w:szCs w:val="21"/>
          <w:lang w:val="de-DE"/>
        </w:rPr>
        <w:t xml:space="preserve">82/15, 118/18, 31/20, 20/21, 114/22)</w:t>
      </w:r>
    </w:p>
    <w:p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color w:val="444444"/>
          <w:sz w:val="21"/>
          <w:szCs w:val="21"/>
          <w:lang w:val="en-US"/>
        </w:rPr>
      </w:pPr>
      <w:r>
        <w:rPr>
          <w:rFonts w:eastAsia="Times New Roman" w:cstheme="minorHAnsi"/>
          <w:b/>
          <w:color w:val="444444"/>
          <w:sz w:val="21"/>
          <w:szCs w:val="21"/>
          <w:lang w:val="de-DE"/>
        </w:rPr>
        <w:t xml:space="preserve">Protokol o kontroli ulaska i izlaska u školskim ustanovama Ministarstva znanosti, obrazovanja i mladih od 02. siječnja 2025. </w:t>
      </w:r>
      <w:r>
        <w:rPr>
          <w:rFonts w:eastAsia="Times New Roman" w:cstheme="minorHAnsi"/>
          <w:b/>
          <w:color w:val="444444"/>
          <w:sz w:val="21"/>
          <w:szCs w:val="21"/>
          <w:lang w:val="de-DE"/>
        </w:rPr>
        <w:t xml:space="preserve">godine</w:t>
      </w:r>
      <w:r>
        <w:rPr>
          <w:rFonts w:eastAsia="Times New Roman" w:cstheme="minorHAnsi"/>
          <w:b/>
          <w:color w:val="444444"/>
          <w:sz w:val="21"/>
          <w:szCs w:val="21"/>
          <w:lang w:val="de-DE"/>
        </w:rPr>
        <w:t xml:space="preserve"> (</w:t>
      </w:r>
      <w:r>
        <w:rPr/>
        <w:fldChar w:fldCharType="begin"/>
      </w:r>
      <w:r>
        <w:rPr/>
        <w:instrText xml:space="preserve">HYPERLINK "https://mzom.gov.hr/UserDocsImages/dokumenti/Obrazovanje/Protokol/Protokol-za-O-i-SS-ver-2-1-2025.pdf" </w:instrText>
      </w:r>
      <w:r>
        <w:rPr/>
        <w:fldChar w:fldCharType="separate"/>
      </w:r>
      <w:r>
        <w:rPr>
          <w:rFonts w:eastAsia="Times New Roman" w:cstheme="minorHAnsi"/>
          <w:b/>
          <w:color w:val="4484CE"/>
          <w:sz w:val="21"/>
          <w:szCs w:val="21"/>
          <w:u w:val="single"/>
          <w:lang w:val="de-DE"/>
        </w:rPr>
        <w:t xml:space="preserve">https://mzom.gov.hr/UserDocsImages/dokumenti/Obrazovanje/Protokol/Protokol-za-O-i-SS-ver-2-1-2025.pdf</w:t>
      </w:r>
      <w:r>
        <w:rPr/>
        <w:fldChar w:fldCharType="end"/>
      </w:r>
      <w:r>
        <w:rPr>
          <w:rFonts w:eastAsia="Times New Roman" w:cstheme="minorHAnsi"/>
          <w:b/>
          <w:color w:val="444444"/>
          <w:sz w:val="21"/>
          <w:szCs w:val="21"/>
          <w:lang w:val="de-DE"/>
        </w:rPr>
        <w:t xml:space="preserve">)</w:t>
      </w:r>
    </w:p>
    <w:p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color w:val="444444"/>
          <w:sz w:val="21"/>
          <w:szCs w:val="21"/>
          <w:lang w:val="en-US"/>
        </w:rPr>
      </w:pPr>
      <w:r>
        <w:rPr>
          <w:rFonts w:eastAsia="Times New Roman" w:cstheme="minorHAnsi"/>
          <w:b/>
          <w:color w:val="444444"/>
          <w:sz w:val="21"/>
          <w:szCs w:val="21"/>
          <w:lang w:val="de-DE"/>
        </w:rPr>
        <w:t xml:space="preserve">Kućni red OŠ Manuš-Split</w:t>
      </w:r>
    </w:p>
    <w:p>
      <w:pPr>
        <w:spacing w:line="24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II.</w:t>
      </w:r>
    </w:p>
    <w:p>
      <w:pPr>
        <w:spacing w:line="240" w:lineRule="auto"/>
        <w:rPr>
          <w:rFonts w:cstheme="minorHAnsi"/>
        </w:rPr>
      </w:pPr>
      <w:r>
        <w:rPr>
          <w:rFonts w:cstheme="minorHAnsi"/>
        </w:rPr>
        <w:t xml:space="preserve">    Ova Odluka stupa na snagu danom donošenja.  </w:t>
      </w:r>
    </w:p>
    <w:p>
      <w:pPr>
        <w:spacing w:line="240" w:lineRule="auto"/>
        <w:ind w:left="6372"/>
        <w:rPr>
          <w:rFonts w:cstheme="minorHAnsi"/>
        </w:rPr>
      </w:pPr>
    </w:p>
    <w:p>
      <w:pPr>
        <w:spacing w:line="240" w:lineRule="auto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Povjerenstvo za procjenu i vrednovanje kandidata </w:t>
      </w:r>
    </w:p>
    <w:p>
      <w:pPr>
        <w:spacing w:line="240" w:lineRule="auto"/>
        <w:rPr>
          <w:rFonts w:cstheme="minorHAnsi"/>
        </w:rPr>
      </w:pPr>
      <w:r>
        <w:rPr>
          <w:rFonts w:cstheme="minorHAnsi"/>
        </w:rPr>
        <w:tab/>
        <w:t xml:space="preserve"/>
      </w:r>
      <w:r>
        <w:rPr>
          <w:rFonts w:cstheme="minorHAnsi"/>
        </w:rPr>
        <w:tab/>
        <w:t xml:space="preserve"/>
      </w:r>
      <w:r>
        <w:rPr>
          <w:rFonts w:cstheme="minorHAnsi"/>
        </w:rPr>
        <w:tab/>
        <w:t xml:space="preserve"/>
      </w:r>
      <w:r>
        <w:rPr>
          <w:rFonts w:cstheme="minorHAnsi"/>
        </w:rPr>
        <w:tab/>
        <w:t xml:space="preserve"/>
      </w:r>
      <w:r>
        <w:rPr>
          <w:rFonts w:cstheme="minorHAnsi"/>
        </w:rPr>
        <w:tab/>
        <w:t xml:space="preserve"/>
      </w:r>
      <w:r>
        <w:rPr>
          <w:rFonts w:cstheme="minorHAnsi"/>
        </w:rPr>
        <w:tab/>
        <w:t xml:space="preserve"/>
      </w:r>
    </w:p>
    <w:sectPr>
      <w:type w:val="nextPage"/>
      <w:pgSz w:w="11906" w:h="16838"/>
      <w:pgMar w:top="1134" w:right="1418" w:bottom="1134" w:left="1418" w:header="709" w:footer="709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238"/>
    <w:family w:val="swiss"/>
    <w:pitch w:val="variable"/>
    <w:sig w:usb0="E4002EFF" w:usb1="C000247B" w:usb2="00000009" w:usb3="00000000" w:csb0="000001FF" w:csb1="00000000"/>
  </w:font>
  <w:font w:name="Courier New">
    <w:charset w:val="238"/>
    <w:family w:val="modern"/>
    <w:pitch w:val="fixed"/>
    <w:sig w:usb0="E0002EFF" w:usb1="C0007843" w:usb2="00000009" w:usb3="00000000" w:csb0="000001FF" w:csb1="00000000"/>
  </w:font>
  <w:font w:name="Times New Roman">
    <w:charset w:val="238"/>
    <w:family w:val="roman"/>
    <w:pitch w:val="variable"/>
    <w:sig w:usb0="E0002EFF" w:usb1="C000785B" w:usb2="00000009" w:usb3="00000000" w:csb0="000001FF" w:csb1="00000000"/>
  </w:font>
  <w:font w:name="Wingdings">
    <w:charset w:val="2"/>
    <w:family w:val="auto"/>
    <w:pitch w:val="variable"/>
    <w:sig w:usb0="00000000" w:usb1="10000000" w:usb2="00000000" w:usb3="00000000" w:csb0="80000000" w:csb1="00000000"/>
  </w:font>
  <w:font w:name="Symbol">
    <w:charset w:val="2"/>
    <w:family w:val="roman"/>
    <w:pitch w:val="variable"/>
    <w:sig w:usb0="00000000" w:usb1="10000000" w:usb2="00000000" w:usb3="00000000" w:csb0="80000000" w:csb1="00000000"/>
  </w:font>
  <w:font w:name="Arial">
    <w:charset w:val="238"/>
    <w:family w:val="swiss"/>
    <w:pitch w:val="variable"/>
    <w:sig w:usb0="E0002EFF" w:usb1="C000785B" w:usb2="00000009" w:usb3="00000000" w:csb0="000001FF" w:csb1="00000000"/>
  </w:font>
  <w:font w:name="Segoe UI">
    <w:charset w:val="38"/>
    <w:family w:val="swiss"/>
    <w:pitch w:val="variable"/>
    <w:sig w:usb0="E4002EFF" w:usb1="C000E47F" w:usb2="00000009" w:usb3="00000000" w:csb0="000001FF" w:csb1="00000000"/>
  </w:font>
  <w:font w:name="Cambria">
    <w:charset w:val="238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C12BC"/>
    <w:lvl w:ilvl="0">
      <w:start w:val="1"/>
      <w:numFmt w:val="bullet"/>
      <w:suff w:val="tab"/>
      <w:lvlText w:val="-"/>
      <w:pPr>
        <w:spacing/>
        <w:ind w:left="1080" w:hanging="360"/>
      </w:pPr>
      <w:rPr>
        <w:rFonts w:ascii="Calibri" w:hAnsi="Calibri" w:eastAsia="Calibri" w:cs="Calibri" w:hint="default"/>
      </w:rPr>
    </w:lvl>
    <w:lvl w:ilvl="1">
      <w:start w:val="1"/>
      <w:numFmt w:val="bullet"/>
      <w:suff w:val="tab"/>
      <w:lvlText w:val="o"/>
      <w:pPr>
        <w:spacing/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52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324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68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40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840" w:hanging="360"/>
      </w:pPr>
      <w:rPr>
        <w:rFonts w:ascii="Wingdings" w:hAnsi="Wingdings" w:hint="default"/>
      </w:rPr>
    </w:lvl>
  </w:abstractNum>
  <w:abstractNum w:abstractNumId="1">
    <w:nsid w:val="0FAB5583"/>
    <w:lvl w:ilvl="0">
      <w:start w:val="1"/>
      <w:numFmt w:val="decimal"/>
      <w:suff w:val="tab"/>
      <w:lvlText w:val="%1)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2">
    <w:nsid w:val="124A4C06"/>
    <w:lvl w:ilvl="0">
      <w:start w:val="1"/>
      <w:numFmt w:val="bullet"/>
      <w:suff w:val="tab"/>
      <w:lvlText w:val=""/>
      <w:pPr>
        <w:spacing/>
        <w:ind w:left="10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7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4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31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9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6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3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60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780" w:hanging="360"/>
      </w:pPr>
      <w:rPr>
        <w:rFonts w:ascii="Wingdings" w:hAnsi="Wingdings" w:hint="default"/>
      </w:rPr>
    </w:lvl>
  </w:abstractNum>
  <w:abstractNum w:abstractNumId="3">
    <w:nsid w:val="1F105F8F"/>
    <w:lvl w:ilvl="0">
      <w:start w:val="1"/>
      <w:numFmt w:val="lowerLetter"/>
      <w:suff w:val="tab"/>
      <w:lvlText w:val="%1)"/>
      <w:pPr>
        <w:spacing/>
        <w:ind w:left="720" w:hanging="360"/>
      </w:pPr>
      <w:rPr>
        <w:rFonts w:ascii="Arial" w:hAnsi="Arial" w:cs="Arial"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4">
    <w:nsid w:val="1F50012E"/>
    <w:lvl w:ilvl="0">
      <w:start w:val="1"/>
      <w:numFmt w:val="decimal"/>
      <w:suff w:val="tab"/>
      <w:lvlText w:val="%1."/>
      <w:pPr>
        <w:tabs>
          <w:tab w:val="num" w:pos="720"/>
        </w:tabs>
        <w:spacing/>
        <w:ind w:left="720" w:hanging="360"/>
      </w:pPr>
      <w:rPr/>
    </w:lvl>
    <w:lvl w:ilvl="1">
      <w:start w:val="1"/>
      <w:numFmt w:val="decimal"/>
      <w:suff w:val="tab"/>
      <w:lvlText w:val="%2."/>
      <w:pPr>
        <w:tabs>
          <w:tab w:val="num" w:pos="1440"/>
        </w:tabs>
        <w:spacing/>
        <w:ind w:left="1440" w:hanging="360"/>
      </w:pPr>
      <w:rPr/>
    </w:lvl>
    <w:lvl w:ilvl="2">
      <w:start w:val="1"/>
      <w:numFmt w:val="decimal"/>
      <w:suff w:val="tab"/>
      <w:lvlText w:val="%3."/>
      <w:pPr>
        <w:tabs>
          <w:tab w:val="num" w:pos="2160"/>
        </w:tabs>
        <w:spacing/>
        <w:ind w:left="2160" w:hanging="360"/>
      </w:pPr>
      <w:rPr/>
    </w:lvl>
    <w:lvl w:ilvl="3">
      <w:start w:val="1"/>
      <w:numFmt w:val="decimal"/>
      <w:suff w:val="tab"/>
      <w:lvlText w:val="%4."/>
      <w:pPr>
        <w:tabs>
          <w:tab w:val="num" w:pos="2880"/>
        </w:tabs>
        <w:spacing/>
        <w:ind w:left="2880" w:hanging="360"/>
      </w:pPr>
      <w:rPr/>
    </w:lvl>
    <w:lvl w:ilvl="4">
      <w:start w:val="1"/>
      <w:numFmt w:val="decimal"/>
      <w:suff w:val="tab"/>
      <w:lvlText w:val="%5."/>
      <w:pPr>
        <w:tabs>
          <w:tab w:val="num" w:pos="3600"/>
        </w:tabs>
        <w:spacing/>
        <w:ind w:left="3600" w:hanging="360"/>
      </w:pPr>
      <w:rPr/>
    </w:lvl>
    <w:lvl w:ilvl="5">
      <w:start w:val="1"/>
      <w:numFmt w:val="decimal"/>
      <w:suff w:val="tab"/>
      <w:lvlText w:val="%6."/>
      <w:pPr>
        <w:tabs>
          <w:tab w:val="num" w:pos="4320"/>
        </w:tabs>
        <w:spacing/>
        <w:ind w:left="4320" w:hanging="360"/>
      </w:pPr>
      <w:rPr/>
    </w:lvl>
    <w:lvl w:ilvl="6">
      <w:start w:val="1"/>
      <w:numFmt w:val="decimal"/>
      <w:suff w:val="tab"/>
      <w:lvlText w:val="%7."/>
      <w:pPr>
        <w:tabs>
          <w:tab w:val="num" w:pos="5040"/>
        </w:tabs>
        <w:spacing/>
        <w:ind w:left="5040" w:hanging="360"/>
      </w:pPr>
      <w:rPr/>
    </w:lvl>
    <w:lvl w:ilvl="7">
      <w:start w:val="1"/>
      <w:numFmt w:val="decimal"/>
      <w:suff w:val="tab"/>
      <w:lvlText w:val="%8."/>
      <w:pPr>
        <w:tabs>
          <w:tab w:val="num" w:pos="5760"/>
        </w:tabs>
        <w:spacing/>
        <w:ind w:left="5760" w:hanging="360"/>
      </w:pPr>
      <w:rPr/>
    </w:lvl>
    <w:lvl w:ilvl="8">
      <w:start w:val="1"/>
      <w:numFmt w:val="decimal"/>
      <w:suff w:val="tab"/>
      <w:lvlText w:val="%9."/>
      <w:pPr>
        <w:tabs>
          <w:tab w:val="num" w:pos="6480"/>
        </w:tabs>
        <w:spacing/>
        <w:ind w:left="6480" w:hanging="360"/>
      </w:pPr>
      <w:rPr/>
    </w:lvl>
  </w:abstractNum>
  <w:abstractNum w:abstractNumId="5">
    <w:nsid w:val="35511B47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6">
    <w:nsid w:val="59334D86"/>
    <w:lvl w:ilvl="0">
      <w:start w:val="0"/>
      <w:numFmt w:val="bullet"/>
      <w:suff w:val="tab"/>
      <w:lvlText w:val="-"/>
      <w:pPr>
        <w:spacing/>
        <w:ind w:left="720" w:hanging="360"/>
      </w:pPr>
      <w:rPr>
        <w:rFonts w:ascii="Times New Roman" w:hAnsi="Times New Roman" w:eastAsiaTheme="minorHAnsi" w:cs="Times New Roman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7">
    <w:nsid w:val="596F47E4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8">
    <w:nsid w:val="5A9137DE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9">
    <w:nsid w:val="5B081660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0">
    <w:nsid w:val="75A62719"/>
    <w:lvl w:ilvl="0">
      <w:start w:val="1"/>
      <w:numFmt w:val="decimal"/>
      <w:suff w:val="tab"/>
      <w:lvlText w:val="%1)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1">
    <w:nsid w:val="7D754B12"/>
    <w:lvl w:ilvl="0">
      <w:start w:val="1"/>
      <w:numFmt w:val="decimal"/>
      <w:suff w:val="tab"/>
      <w:lvlText w:val="%1)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defaultTabStop w:val="708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xmlns:w="http://schemas.openxmlformats.org/wordprocessingml/2006/main"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spacing w:after="0"/>
    </w:pPr>
    <w:rPr/>
  </w:style>
  <w:style w:type="character" w:styleId="Zadanifontodlomka" w:default="1">
    <w:name w:val="Default Paragraph Font"/>
    <w:uiPriority w:val="1"/>
    <w:semiHidden/>
    <w:unhideWhenUsed/>
    <w:rPr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pPr>
      <w:spacing/>
      <w:ind w:left="720"/>
      <w:contextualSpacing/>
    </w:pPr>
    <w:rPr/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kstbalonia">
    <w:name w:val="Balloon Text"/>
    <w:basedOn w:val="Normal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TekstbaloniaChar" w:customStyle="1">
    <w:name w:val="Tekst balončića Char"/>
    <w:basedOn w:val="Zadanifontodlomka"/>
    <w:uiPriority w:val="99"/>
    <w:semiHidden/>
    <w:rPr>
      <w:rFonts w:ascii="Segoe UI" w:hAnsi="Segoe UI" w:cs="Segoe UI"/>
      <w:sz w:val="18"/>
      <w:szCs w:val="18"/>
    </w:rPr>
  </w:style>
  <w:style w:type="paragraph" w:styleId="Bezproreda1" w:customStyle="1">
    <w:name w:val="Bez proreda1"/>
    <w:link w:val="BezproredaChar"/>
    <w:uiPriority w:val="1"/>
    <w:qFormat/>
    <w:pPr>
      <w:spacing w:after="0" w:line="240" w:lineRule="auto"/>
    </w:pPr>
    <w:rPr>
      <w:rFonts w:ascii="Calibri" w:hAnsi="Calibri" w:eastAsia="Calibri" w:cs="Times New Roman"/>
    </w:rPr>
  </w:style>
  <w:style w:type="character" w:styleId="BezproredaChar" w:customStyle="1">
    <w:name w:val="Bez proreda Char"/>
    <w:basedOn w:val="Zadanifontodlomka"/>
    <w:link w:val="Bezproreda1"/>
    <w:uiPriority w:val="1"/>
    <w:rPr>
      <w:rFonts w:ascii="Calibri" w:hAnsi="Calibri" w:eastAsia="Calibri" w:cs="Times New Roman"/>
    </w:rPr>
  </w:style>
  <w:style w:type="character" w:styleId="Hiperveza">
    <w:name w:val="Hyperlink"/>
    <w:basedOn w:val="Zadanifontodlomka"/>
    <w:uiPriority w:val="99"/>
    <w:unhideWhenUsed/>
    <w:rPr>
      <w:color w:val="0000FF"/>
      <w:u w:val="single"/>
    </w:rPr>
  </w:style>
  <w:style w:type="character" w:styleId="Nerijeenospominjanje1" w:customStyle="1">
    <w:name w:val="Neriješeno spominjanje1"/>
    <w:basedOn w:val="Zadanifontodlomka"/>
    <w:uiPriority w:val="99"/>
    <w:semiHidden/>
    <w:unhideWhenUsed/>
    <w:rPr>
      <w:color w:val="605E5C"/>
      <w:shd w:val="clear" w:color="auto" w:fill="E1DFDD"/>
    </w:rPr>
  </w:style>
</w:style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ntTable" Target="fontTable.xml" /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h="25400" w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141</TotalTime>
  <Pages>1</Pages>
  <Words>479</Words>
  <Characters>2734</Characters>
  <Application>Microsoft Office Word</Application>
  <DocSecurity>0</DocSecurity>
  <Lines>22</Lines>
  <Paragraphs>6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Tajništvo</dc:creator>
  <cp:lastModifiedBy>Marijana Hraste</cp:lastModifiedBy>
  <cp:lastPrinted>2020-10-02T10:36:00Z</cp:lastPrinted>
  <cp:revision>18</cp:revision>
  <dcterms:created xsi:type="dcterms:W3CDTF">2022-04-19T08:13:00Z</dcterms:created>
  <dcterms:modified xsi:type="dcterms:W3CDTF">2026-10-01T06:19:00Z</dcterms:modified>
</cp:coreProperties>
</file>